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3A69" w14:textId="77777777" w:rsidR="00415AE2" w:rsidRPr="005F7603" w:rsidRDefault="00415AE2" w:rsidP="00221B3D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5F7603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15AE2" w:rsidRPr="00415AE2" w14:paraId="1AEC794B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77ABE89" w14:textId="68B07105" w:rsidR="00415AE2" w:rsidRPr="005F7603" w:rsidRDefault="00AD55EE" w:rsidP="00221B3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Indicator Description</w:t>
            </w:r>
          </w:p>
        </w:tc>
      </w:tr>
      <w:tr w:rsidR="00415AE2" w:rsidRPr="00415AE2" w14:paraId="043DB08F" w14:textId="77777777" w:rsidTr="00221B3D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5FED2" w14:textId="77777777" w:rsidR="00415AE2" w:rsidRPr="00415AE2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Percent of hearing requests that went to resolution sessions that were resolved through resolution session settlement agreements.</w:t>
            </w:r>
          </w:p>
        </w:tc>
      </w:tr>
      <w:tr w:rsidR="00415AE2" w:rsidRPr="00415AE2" w14:paraId="36CE1403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DAB1193" w14:textId="79D37AC8" w:rsidR="00415AE2" w:rsidRPr="00415AE2" w:rsidRDefault="00415AE2" w:rsidP="00221B3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Measurement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1"/>
            </w:r>
          </w:p>
        </w:tc>
      </w:tr>
      <w:tr w:rsidR="00415AE2" w:rsidRPr="00415AE2" w14:paraId="0662126E" w14:textId="77777777" w:rsidTr="00221B3D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AE2883D" w14:textId="77777777" w:rsidR="00415AE2" w:rsidRPr="00415AE2" w:rsidRDefault="00415AE2" w:rsidP="00221B3D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Percent = (3.1(a) divided by 3.1) times 100.</w:t>
            </w:r>
          </w:p>
          <w:p w14:paraId="1C311F7B" w14:textId="425BAF28" w:rsidR="00415AE2" w:rsidRDefault="00415AE2" w:rsidP="00221B3D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3.1(a) and 3.1 refer to data elements in the E</w:t>
            </w:r>
            <w:r w:rsidRPr="00415AE2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MAPS</w:t>
            </w: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IDEA Part B Dispute Resolution Survey.</w:t>
            </w:r>
          </w:p>
          <w:p w14:paraId="7F915B22" w14:textId="00F9F5D2" w:rsidR="008F2B50" w:rsidRPr="00415AE2" w:rsidRDefault="008F2B50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Data the </w:t>
            </w:r>
            <w:r w:rsidR="0048497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SEA </w:t>
            </w: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collects under Section 618 of the IDEA (IDEA Part B Dispute Resolution Survey in E</w:t>
            </w:r>
            <w:r w:rsidRPr="005E2A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>MAPS</w:t>
            </w: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).</w:t>
            </w:r>
          </w:p>
        </w:tc>
      </w:tr>
      <w:tr w:rsidR="008A2729" w:rsidRPr="00415AE2" w14:paraId="292CE8F5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CC9EA43" w14:textId="573F61EE" w:rsidR="008A2729" w:rsidRPr="00415AE2" w:rsidRDefault="008A2729" w:rsidP="00221B3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8A272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Stakeholder Engagement: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Describe the process the </w:t>
            </w:r>
            <w:r w:rsid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SEA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uses to engage stakeholders for the SPP/APR</w:t>
            </w:r>
            <w:r w:rsidR="001A12FA">
              <w:rPr>
                <w:rStyle w:val="FootnoteReference"/>
                <w:rFonts w:asciiTheme="minorHAnsi" w:hAnsiTheme="minorHAnsi" w:cstheme="minorHAnsi"/>
                <w:bCs/>
                <w:color w:val="FFFFFF" w:themeColor="background1"/>
                <w:sz w:val="20"/>
              </w:rPr>
              <w:footnoteReference w:id="2"/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that includes broad stakeholder input and includes </w:t>
            </w:r>
            <w:r w:rsidR="00C60B2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a) the number of parents (parent members of organizations and individual parents) engaged in setting targets, analyzing data, developing improvement activities</w:t>
            </w:r>
            <w:r w:rsid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evaluating progress; </w:t>
            </w:r>
            <w:r w:rsidR="00C60B2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b) description of activities </w:t>
            </w:r>
            <w:r w:rsid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the SEA 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conducted to increase the capacity of diverse groups of parents to support the development of implementation of activities to improve outcomes; </w:t>
            </w:r>
            <w:r w:rsidR="00C60B2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C60B2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d) mechanisms and timelines for mak</w:t>
            </w:r>
            <w:r w:rsidR="001537F0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ing</w:t>
            </w:r>
            <w:r w:rsidRPr="00D7395F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8A2729" w:rsidRPr="003344FC" w14:paraId="749E8F88" w14:textId="77777777" w:rsidTr="00221B3D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4C019ADB" w14:textId="77777777" w:rsidR="008A2729" w:rsidRPr="003344FC" w:rsidRDefault="008A2729" w:rsidP="003344FC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1F7DAC12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B69A8CD" w14:textId="585D1EF6" w:rsidR="00415AE2" w:rsidRPr="00415AE2" w:rsidRDefault="00415AE2" w:rsidP="00221B3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Target Setting: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This is a results indicator.</w:t>
            </w: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</w:t>
            </w:r>
            <w:r w:rsidRPr="00D7395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process </w:t>
            </w:r>
            <w:r w:rsidR="00D7395F" w:rsidRPr="00D7395F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D7395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to engage stakeholders </w:t>
            </w:r>
            <w:r w:rsidR="008A2729">
              <w:rPr>
                <w:rFonts w:asciiTheme="minorHAnsi" w:hAnsiTheme="minorHAnsi" w:cstheme="minorHAnsi"/>
                <w:color w:val="FFFFFF" w:themeColor="background1"/>
                <w:sz w:val="20"/>
              </w:rPr>
              <w:t>to</w:t>
            </w:r>
            <w:r w:rsidR="008A2729"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AD55EE">
              <w:rPr>
                <w:rFonts w:asciiTheme="minorHAnsi" w:hAnsiTheme="minorHAnsi" w:cstheme="minorHAnsi"/>
                <w:color w:val="FFFFFF" w:themeColor="background1"/>
                <w:sz w:val="20"/>
              </w:rPr>
              <w:t>set targets.</w:t>
            </w:r>
          </w:p>
        </w:tc>
      </w:tr>
      <w:tr w:rsidR="00415AE2" w:rsidRPr="00415AE2" w14:paraId="11C5FF39" w14:textId="77777777" w:rsidTr="003344FC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333F0216" w14:textId="56A5D6A6" w:rsidR="00415AE2" w:rsidRPr="00415AE2" w:rsidRDefault="00415AE2" w:rsidP="003344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States</w:t>
            </w:r>
            <w:r w:rsidR="00D7395F"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are not required to establish baseline or targets if the number of resolution sessions is less than 10. In a reporting period when the number of resolution sessions reaches 10 or greater, develop baseline, targets</w:t>
            </w:r>
            <w:r w:rsidR="00AD55EE"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improvement activities, and report on them in the corresponding SPP/APR.</w:t>
            </w:r>
          </w:p>
          <w:p w14:paraId="133FCDC7" w14:textId="7AAC4A96" w:rsidR="00415AE2" w:rsidRPr="00415AE2" w:rsidRDefault="00415AE2" w:rsidP="00D519D3">
            <w:pPr>
              <w:autoSpaceDE w:val="0"/>
              <w:autoSpaceDN w:val="0"/>
              <w:adjustRightInd w:val="0"/>
              <w:spacing w:before="80"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States may express their targets in a range (e.g., 75–85%).</w:t>
            </w:r>
          </w:p>
        </w:tc>
      </w:tr>
      <w:tr w:rsidR="00415AE2" w:rsidRPr="00415AE2" w14:paraId="7B0281E4" w14:textId="77777777" w:rsidTr="00221B3D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3DCDC76" w14:textId="77777777" w:rsidR="00415AE2" w:rsidRPr="00415AE2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27627CB1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A3DFEBE" w14:textId="61F7FE75" w:rsidR="00415AE2" w:rsidRPr="00415AE2" w:rsidRDefault="008A2729" w:rsidP="00221B3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F760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Online SPP/APR Submission Tool Information: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5F760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Describe login information, who has access, how to gain access for additional staff</w:t>
            </w:r>
            <w:r w:rsidR="005F760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5F760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how to access online </w:t>
            </w:r>
            <w:r w:rsidR="007276A0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SPP/APR submission tool support</w:t>
            </w:r>
            <w:r w:rsidRPr="005F760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.</w:t>
            </w:r>
          </w:p>
        </w:tc>
      </w:tr>
      <w:tr w:rsidR="00415AE2" w:rsidRPr="00415AE2" w14:paraId="73913480" w14:textId="77777777" w:rsidTr="00221B3D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65896" w14:textId="77777777" w:rsidR="00415AE2" w:rsidRPr="005F7603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</w:tr>
      <w:tr w:rsidR="00415AE2" w:rsidRPr="00415AE2" w14:paraId="7937B361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49813AE" w14:textId="10AF765F" w:rsidR="00415AE2" w:rsidRPr="00415AE2" w:rsidRDefault="00415AE2" w:rsidP="00221B3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titles and names, contact information, department, and any notes on persons responsible for </w:t>
            </w:r>
            <w:r w:rsid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collection, validation, and submission. If there are multiple parties responsible or involved in the process, list them all.</w:t>
            </w:r>
          </w:p>
        </w:tc>
      </w:tr>
      <w:tr w:rsidR="00415AE2" w:rsidRPr="00415AE2" w14:paraId="60FE4BE6" w14:textId="77777777" w:rsidTr="00221B3D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8E980C7" w14:textId="77777777" w:rsidR="00415AE2" w:rsidRPr="00415AE2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5FF7AF35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6B2AF31" w14:textId="652D6BB1" w:rsidR="00415AE2" w:rsidRPr="00415AE2" w:rsidRDefault="00415AE2" w:rsidP="00221B3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Source Description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: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short description of the database or data system </w:t>
            </w:r>
            <w:r w:rsid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process data for this indicator. Consider connecting to 618 data protocol for description of data.</w:t>
            </w:r>
            <w:r w:rsidR="008F2B5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8F2B50" w:rsidRP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the </w:t>
            </w:r>
            <w:r w:rsid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7C1816" w:rsidRP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8F2B50" w:rsidRP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collects under Section 618 of the IDEA (IDEA Part B Dispute Resolution Survey in E</w:t>
            </w:r>
            <w:r w:rsidR="008F2B50" w:rsidRPr="007C1816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MAP</w:t>
            </w:r>
            <w:r w:rsidR="008F2B50" w:rsidRP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>S).</w:t>
            </w:r>
          </w:p>
        </w:tc>
      </w:tr>
      <w:tr w:rsidR="00415AE2" w:rsidRPr="00415AE2" w14:paraId="533CB8E9" w14:textId="77777777" w:rsidTr="00221B3D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3C097E3D" w14:textId="5D3DDFD2" w:rsidR="00415AE2" w:rsidRPr="00415AE2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0889390F" w14:textId="77777777" w:rsidTr="00221B3D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B8E98D0" w14:textId="1D5DEE77" w:rsidR="00415AE2" w:rsidRPr="00415AE2" w:rsidRDefault="00415AE2" w:rsidP="00221B3D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</w:t>
            </w:r>
            <w:r w:rsidRPr="005F760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list of dates necessary for this data collection, including when the data collection period opens, when data are due from the local education agencies (LEAs), and when assigned </w:t>
            </w:r>
            <w:r w:rsid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pull the data after the collection closes.</w:t>
            </w:r>
          </w:p>
        </w:tc>
      </w:tr>
      <w:tr w:rsidR="00415AE2" w:rsidRPr="00415AE2" w14:paraId="32CFD016" w14:textId="77777777" w:rsidTr="00221B3D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35EB198" w14:textId="77777777" w:rsidR="00415AE2" w:rsidRPr="00415AE2" w:rsidRDefault="00415AE2" w:rsidP="00221B3D">
            <w:pPr>
              <w:autoSpaceDE w:val="0"/>
              <w:autoSpaceDN w:val="0"/>
              <w:adjustRightInd w:val="0"/>
              <w:spacing w:after="1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696EBAD9" w14:textId="77777777" w:rsidR="00415AE2" w:rsidRPr="00415AE2" w:rsidRDefault="00415AE2" w:rsidP="00415AE2">
      <w:pPr>
        <w:rPr>
          <w:rFonts w:asciiTheme="minorHAnsi" w:hAnsiTheme="minorHAnsi" w:cstheme="minorHAnsi"/>
        </w:rPr>
      </w:pPr>
    </w:p>
    <w:p w14:paraId="58031563" w14:textId="77777777" w:rsidR="00415AE2" w:rsidRPr="00415AE2" w:rsidRDefault="00415AE2" w:rsidP="00415AE2">
      <w:pPr>
        <w:spacing w:line="240" w:lineRule="auto"/>
        <w:rPr>
          <w:rFonts w:asciiTheme="minorHAnsi" w:hAnsiTheme="minorHAnsi" w:cstheme="minorHAnsi"/>
          <w:b/>
          <w:color w:val="199387"/>
          <w:sz w:val="40"/>
          <w:szCs w:val="40"/>
        </w:rPr>
      </w:pPr>
      <w:r w:rsidRPr="00415AE2">
        <w:rPr>
          <w:rFonts w:asciiTheme="minorHAnsi" w:hAnsiTheme="minorHAnsi" w:cstheme="minorHAnsi"/>
          <w:color w:val="199387"/>
        </w:rPr>
        <w:br w:type="page"/>
      </w:r>
    </w:p>
    <w:p w14:paraId="095848CA" w14:textId="77777777" w:rsidR="00415AE2" w:rsidRPr="005F7603" w:rsidRDefault="00415AE2" w:rsidP="00415AE2">
      <w:pPr>
        <w:pStyle w:val="Heading2"/>
        <w:tabs>
          <w:tab w:val="clear" w:pos="1152"/>
        </w:tabs>
        <w:spacing w:before="40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5F7603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15AE2" w:rsidRPr="00415AE2" w14:paraId="1817D251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AED2E59" w14:textId="77777777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detailed information about the origin and collection of the data. </w:t>
            </w:r>
          </w:p>
        </w:tc>
      </w:tr>
      <w:tr w:rsidR="00415AE2" w:rsidRPr="00415AE2" w14:paraId="55772465" w14:textId="77777777" w:rsidTr="004771A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4EC39ED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0873FBD7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6BC14BA" w14:textId="491951C4" w:rsidR="00415AE2" w:rsidRPr="00415AE2" w:rsidRDefault="00415AE2" w:rsidP="007C1816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Pr="005F760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and any other processes </w:t>
            </w:r>
            <w:r w:rsid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ensure high-quality data. </w:t>
            </w:r>
          </w:p>
        </w:tc>
      </w:tr>
      <w:tr w:rsidR="00415AE2" w:rsidRPr="00415AE2" w14:paraId="2D8D599D" w14:textId="77777777" w:rsidTr="004771A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4911988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6069C5AB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2B3A265" w14:textId="77777777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Analysis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>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for data analysis.  </w:t>
            </w:r>
          </w:p>
        </w:tc>
      </w:tr>
      <w:tr w:rsidR="00415AE2" w:rsidRPr="00415AE2" w14:paraId="77E55441" w14:textId="77777777" w:rsidTr="004771A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4D12E2D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6DAFE1C7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3DE2EA3" w14:textId="11B24AC2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OSEP-Required Actions:</w:t>
            </w:r>
            <w:r w:rsidRPr="005F760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procedures for reviewing Office of Special Education Programs (OSEP) feedback. Following the release of the OSEP determination, indicate who reviews OSEP feedback and how assigned </w:t>
            </w:r>
            <w:r w:rsidR="007C181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make the plan to address concerns and create a response.</w:t>
            </w:r>
          </w:p>
        </w:tc>
      </w:tr>
      <w:tr w:rsidR="00415AE2" w:rsidRPr="00415AE2" w14:paraId="2A2902D1" w14:textId="77777777" w:rsidTr="004771A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F7582D6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646D2298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25DD2D0" w14:textId="77777777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off, timelines).</w:t>
            </w:r>
            <w:r w:rsidRPr="00415AE2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415AE2" w:rsidRPr="00415AE2" w14:paraId="0BA4AC23" w14:textId="77777777" w:rsidTr="004771A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9D5016E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21B3D" w:rsidRPr="00221B3D" w14:paraId="239E7890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76C5FA8" w14:textId="5E7B5A78" w:rsidR="00415AE2" w:rsidRPr="00221B3D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21B3D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221B3D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process for entering the data and analyses into</w:t>
            </w:r>
            <w:r w:rsidR="008A2729" w:rsidRPr="00221B3D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online SPP/APR submission tool</w:t>
            </w:r>
            <w:r w:rsidRPr="00221B3D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415AE2" w:rsidRPr="00415AE2" w14:paraId="0FEFE339" w14:textId="77777777" w:rsidTr="004771A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183FF90" w14:textId="24787F47" w:rsidR="00415AE2" w:rsidRPr="00415AE2" w:rsidRDefault="00D4153E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Data are</w:t>
            </w:r>
            <w:r w:rsidR="00415AE2"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prefilled in </w:t>
            </w:r>
            <w:r w:rsidR="004A572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 </w:t>
            </w:r>
            <w:r w:rsidR="008A2729">
              <w:rPr>
                <w:rFonts w:asciiTheme="minorHAnsi" w:hAnsiTheme="minorHAnsi" w:cstheme="minorHAnsi"/>
                <w:color w:val="000000" w:themeColor="text1"/>
                <w:sz w:val="20"/>
              </w:rPr>
              <w:t>online SPP/</w:t>
            </w:r>
            <w:r w:rsidR="004A572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APR </w:t>
            </w:r>
            <w:r w:rsidR="008A2729">
              <w:rPr>
                <w:rFonts w:asciiTheme="minorHAnsi" w:hAnsiTheme="minorHAnsi" w:cstheme="minorHAnsi"/>
                <w:color w:val="000000" w:themeColor="text1"/>
                <w:sz w:val="20"/>
              </w:rPr>
              <w:t>submission t</w:t>
            </w:r>
            <w:r w:rsidR="004A5729">
              <w:rPr>
                <w:rFonts w:asciiTheme="minorHAnsi" w:hAnsiTheme="minorHAnsi" w:cstheme="minorHAnsi"/>
                <w:color w:val="000000" w:themeColor="text1"/>
                <w:sz w:val="20"/>
              </w:rPr>
              <w:t>ool</w:t>
            </w:r>
            <w:r w:rsidR="00415AE2" w:rsidRPr="00415AE2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415AE2" w:rsidRPr="00415AE2" w14:paraId="16794085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0ECC61F" w14:textId="77777777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Clarification: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4"/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your state uses to prepare a response to OSEP’s request for clarification.</w:t>
            </w:r>
          </w:p>
        </w:tc>
      </w:tr>
      <w:tr w:rsidR="00415AE2" w:rsidRPr="00415AE2" w14:paraId="3B7556D8" w14:textId="77777777" w:rsidTr="004771A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4ACFD11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2BFE54A8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F918093" w14:textId="77777777" w:rsidR="00415AE2" w:rsidRPr="00415AE2" w:rsidRDefault="00415AE2" w:rsidP="00415AE2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5F760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15AE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for reviewing potential or actual changes to the data collection and associated requirements.  </w:t>
            </w:r>
          </w:p>
        </w:tc>
      </w:tr>
      <w:tr w:rsidR="00415AE2" w:rsidRPr="00415AE2" w14:paraId="13662EED" w14:textId="77777777" w:rsidTr="004771A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7026EEC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15AE2" w:rsidRPr="00415AE2" w14:paraId="21544E53" w14:textId="77777777" w:rsidTr="004771A2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222EFBF" w14:textId="19F36515" w:rsidR="00415AE2" w:rsidRPr="00415AE2" w:rsidRDefault="00415AE2" w:rsidP="00D4153E">
            <w:pPr>
              <w:keepNext/>
              <w:spacing w:after="18"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15AE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Public Reporting</w:t>
            </w:r>
            <w:r w:rsidRPr="009F0777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: </w:t>
            </w:r>
            <w:bookmarkStart w:id="0" w:name="_Hlk73463857"/>
            <w:r w:rsidR="008A2729" w:rsidRPr="008A272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and format for publicly reporting the performance of each LEA against the target of the state’s SPP/APR. Note where the </w:t>
            </w:r>
            <w:r w:rsidR="003A6F6A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3A6F6A" w:rsidRPr="008A272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8A2729" w:rsidRPr="008A272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posts </w:t>
            </w:r>
            <w:r w:rsidR="00D4153E">
              <w:rPr>
                <w:rFonts w:asciiTheme="minorHAnsi" w:hAnsiTheme="minorHAnsi" w:cstheme="minorHAnsi"/>
                <w:color w:val="FFFFFF" w:themeColor="background1"/>
                <w:sz w:val="20"/>
              </w:rPr>
              <w:t>the s</w:t>
            </w:r>
            <w:r w:rsidR="008A2729" w:rsidRPr="008A2729">
              <w:rPr>
                <w:rFonts w:asciiTheme="minorHAnsi" w:hAnsiTheme="minorHAnsi" w:cstheme="minorHAnsi"/>
                <w:color w:val="FFFFFF" w:themeColor="background1"/>
                <w:sz w:val="20"/>
              </w:rPr>
              <w:t>tate's SPP/APR and the performance of the LEAs against the state targets.</w:t>
            </w:r>
            <w:bookmarkEnd w:id="0"/>
          </w:p>
        </w:tc>
      </w:tr>
      <w:tr w:rsidR="00415AE2" w:rsidRPr="00415AE2" w14:paraId="4E44CD5A" w14:textId="77777777" w:rsidTr="004771A2">
        <w:trPr>
          <w:cantSplit/>
          <w:trHeight w:val="20"/>
        </w:trPr>
        <w:tc>
          <w:tcPr>
            <w:tcW w:w="10070" w:type="dxa"/>
          </w:tcPr>
          <w:p w14:paraId="3A4D9B1F" w14:textId="77777777" w:rsidR="00415AE2" w:rsidRPr="00415AE2" w:rsidRDefault="00415AE2" w:rsidP="00415AE2">
            <w:pPr>
              <w:autoSpaceDE w:val="0"/>
              <w:autoSpaceDN w:val="0"/>
              <w:adjustRightInd w:val="0"/>
              <w:spacing w:after="18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0EA96E62" w14:textId="77777777" w:rsidR="00A668DB" w:rsidRPr="00A668DB" w:rsidRDefault="00A668DB" w:rsidP="00221B3D">
      <w:pPr>
        <w:spacing w:line="240" w:lineRule="auto"/>
        <w:contextualSpacing/>
      </w:pPr>
    </w:p>
    <w:sectPr w:rsidR="00A668DB" w:rsidRPr="00A668DB" w:rsidSect="006B6B7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58E4" w14:textId="77777777" w:rsidR="00CD36B9" w:rsidRDefault="00CD36B9">
      <w:pPr>
        <w:spacing w:line="240" w:lineRule="auto"/>
      </w:pPr>
      <w:r>
        <w:separator/>
      </w:r>
    </w:p>
  </w:endnote>
  <w:endnote w:type="continuationSeparator" w:id="0">
    <w:p w14:paraId="08B682A9" w14:textId="77777777" w:rsidR="00CD36B9" w:rsidRDefault="00CD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9602" w14:textId="76D2E545" w:rsidR="00221B3D" w:rsidRPr="00C669F1" w:rsidRDefault="00CD36B9" w:rsidP="00221B3D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221B3D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221B3D" w:rsidRPr="00C669F1">
      <w:rPr>
        <w:rFonts w:asciiTheme="minorHAnsi" w:hAnsiTheme="minorHAnsi" w:cstheme="minorHAnsi"/>
        <w:color w:val="000000" w:themeColor="text1"/>
        <w:sz w:val="20"/>
      </w:rPr>
      <w:tab/>
    </w:r>
    <w:r w:rsidR="00221B3D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221B3D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221B3D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C60B27">
      <w:rPr>
        <w:rFonts w:asciiTheme="minorHAnsi" w:hAnsiTheme="minorHAnsi" w:cstheme="minorHAnsi"/>
        <w:noProof/>
        <w:color w:val="000000" w:themeColor="text1"/>
        <w:sz w:val="20"/>
      </w:rPr>
      <w:t>4</w:t>
    </w:r>
    <w:r w:rsidR="00221B3D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ED9C" w14:textId="40B4B92D" w:rsidR="00221B3D" w:rsidRPr="00C669F1" w:rsidRDefault="00CD36B9" w:rsidP="00221B3D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221B3D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221B3D" w:rsidRPr="00C669F1">
      <w:rPr>
        <w:rFonts w:asciiTheme="minorHAnsi" w:hAnsiTheme="minorHAnsi" w:cstheme="minorHAnsi"/>
        <w:color w:val="000000" w:themeColor="text1"/>
        <w:sz w:val="20"/>
      </w:rPr>
      <w:tab/>
    </w:r>
    <w:r w:rsidR="00221B3D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221B3D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221B3D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C60B27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221B3D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052E" w14:textId="77777777" w:rsidR="00CD36B9" w:rsidRDefault="00CD36B9">
      <w:pPr>
        <w:spacing w:line="240" w:lineRule="auto"/>
      </w:pPr>
      <w:r>
        <w:separator/>
      </w:r>
    </w:p>
  </w:footnote>
  <w:footnote w:type="continuationSeparator" w:id="0">
    <w:p w14:paraId="4E4B5CEE" w14:textId="77777777" w:rsidR="00CD36B9" w:rsidRDefault="00CD36B9">
      <w:pPr>
        <w:spacing w:line="240" w:lineRule="auto"/>
      </w:pPr>
      <w:r>
        <w:continuationSeparator/>
      </w:r>
    </w:p>
  </w:footnote>
  <w:footnote w:id="1">
    <w:p w14:paraId="0A330946" w14:textId="59BB9D56" w:rsidR="00415AE2" w:rsidRPr="00415AE2" w:rsidRDefault="00415AE2" w:rsidP="00221B3D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15AE2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21B3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415AE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Measurement:</w:t>
      </w:r>
      <w:r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963FC" w:rsidRPr="00B963FC">
        <w:rPr>
          <w:rFonts w:asciiTheme="minorHAnsi" w:hAnsiTheme="minorHAnsi" w:cstheme="minorHAnsi"/>
          <w:sz w:val="18"/>
          <w:szCs w:val="18"/>
        </w:rPr>
        <w:t>Part B State Performance Plan (SPP) and Annual Performance Report (APR) Part B Indicator Measurement Table: For Federal Fiscal Year (FFY) 2020 Submission.</w:t>
      </w:r>
    </w:p>
  </w:footnote>
  <w:footnote w:id="2">
    <w:p w14:paraId="1CF18DA1" w14:textId="6094DAF4" w:rsidR="001A12FA" w:rsidRPr="001A12FA" w:rsidRDefault="001A12FA" w:rsidP="00221B3D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sz w:val="18"/>
          <w:szCs w:val="18"/>
        </w:rPr>
      </w:pPr>
      <w:r w:rsidRPr="001A12F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221B3D">
        <w:rPr>
          <w:rFonts w:asciiTheme="minorHAnsi" w:hAnsiTheme="minorHAnsi" w:cstheme="minorHAnsi"/>
          <w:sz w:val="18"/>
          <w:szCs w:val="18"/>
        </w:rPr>
        <w:t xml:space="preserve"> </w:t>
      </w:r>
      <w:r w:rsidR="00AD55EE">
        <w:rPr>
          <w:rFonts w:asciiTheme="minorHAnsi" w:hAnsiTheme="minorHAnsi" w:cstheme="minorHAnsi"/>
          <w:sz w:val="18"/>
          <w:szCs w:val="18"/>
        </w:rPr>
        <w:t>State Performance Plan/Annual Performance Report</w:t>
      </w:r>
      <w:r w:rsidRPr="001A12FA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62F780FE" w14:textId="3141F1FA" w:rsidR="00415AE2" w:rsidRPr="00415AE2" w:rsidRDefault="00415AE2" w:rsidP="00221B3D">
      <w:pPr>
        <w:pStyle w:val="SL-FlLftSgl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415AE2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21B3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415AE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Analysis:</w:t>
      </w:r>
      <w:r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Review data year to year, looking for patterns statewide and within LEAs, outliers, </w:t>
      </w:r>
      <w:r w:rsidR="005F760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information about </w:t>
      </w:r>
      <w:r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>whether targets are met or not met, and slippage.</w:t>
      </w:r>
    </w:p>
  </w:footnote>
  <w:footnote w:id="4">
    <w:p w14:paraId="4C1C83D0" w14:textId="1F456AF7" w:rsidR="00415AE2" w:rsidRPr="00415AE2" w:rsidRDefault="00415AE2" w:rsidP="00221B3D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15AE2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21B3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415AE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Clarification:</w:t>
      </w:r>
      <w:r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OSEP generally sends clarification requests to </w:t>
      </w:r>
      <w:r w:rsidR="005F7603">
        <w:rPr>
          <w:rFonts w:asciiTheme="minorHAnsi" w:hAnsiTheme="minorHAnsi" w:cstheme="minorHAnsi"/>
          <w:color w:val="000000" w:themeColor="text1"/>
          <w:sz w:val="18"/>
          <w:szCs w:val="18"/>
        </w:rPr>
        <w:t>SEAs</w:t>
      </w:r>
      <w:r w:rsidR="005F7603"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415A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about 60 days postsubmission.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7CF" w14:textId="77777777" w:rsidR="00221B3D" w:rsidRPr="003F6AEC" w:rsidRDefault="00221B3D" w:rsidP="00221B3D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bookmarkStart w:id="1" w:name="_Hlk86068137"/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4081AFC7" wp14:editId="4A414C3E">
          <wp:simplePos x="0" y="0"/>
          <wp:positionH relativeFrom="margin">
            <wp:posOffset>5702060</wp:posOffset>
          </wp:positionH>
          <wp:positionV relativeFrom="margin">
            <wp:posOffset>-1310353</wp:posOffset>
          </wp:positionV>
          <wp:extent cx="709930" cy="4572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t>SEA Data Processes Toolkit</w:t>
    </w:r>
  </w:p>
  <w:bookmarkEnd w:id="1"/>
  <w:p w14:paraId="59ABE964" w14:textId="77777777" w:rsidR="006B6B7D" w:rsidRPr="005F7603" w:rsidRDefault="00415AE2" w:rsidP="00221B3D">
    <w:pPr>
      <w:pStyle w:val="Header"/>
      <w:pBdr>
        <w:bottom w:val="single" w:sz="18" w:space="8" w:color="26847A"/>
      </w:pBdr>
      <w:tabs>
        <w:tab w:val="right" w:pos="10800"/>
      </w:tabs>
      <w:spacing w:before="240"/>
      <w:ind w:left="45" w:right="18"/>
      <w:jc w:val="center"/>
      <w:rPr>
        <w:rFonts w:asciiTheme="minorHAnsi" w:hAnsiTheme="minorHAnsi"/>
        <w:b/>
        <w:color w:val="01579B"/>
        <w:sz w:val="32"/>
        <w:szCs w:val="32"/>
      </w:rPr>
    </w:pPr>
    <w:r w:rsidRPr="005F7603">
      <w:rPr>
        <w:rFonts w:asciiTheme="minorHAnsi" w:hAnsiTheme="minorHAnsi"/>
        <w:b/>
        <w:color w:val="01579B"/>
        <w:sz w:val="32"/>
        <w:szCs w:val="32"/>
      </w:rPr>
      <w:t>Data Collection Protocol—Indicator 15. Resolution Sessions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8C55" w14:textId="77777777" w:rsidR="00224864" w:rsidRDefault="00415AE2" w:rsidP="00CB1541">
    <w:pPr>
      <w:pStyle w:val="C2-CtrSglSp"/>
      <w:spacing w:after="240"/>
    </w:pPr>
    <w:r>
      <w:rPr>
        <w:noProof/>
      </w:rPr>
      <w:drawing>
        <wp:inline distT="0" distB="0" distL="0" distR="0" wp14:anchorId="5E6C56AE" wp14:editId="7D463A2F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cator 15. Resolution Sessions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E2"/>
    <w:rsid w:val="000178F8"/>
    <w:rsid w:val="00030D86"/>
    <w:rsid w:val="000350E9"/>
    <w:rsid w:val="00036AF4"/>
    <w:rsid w:val="00043871"/>
    <w:rsid w:val="000447C2"/>
    <w:rsid w:val="00047085"/>
    <w:rsid w:val="00051CB9"/>
    <w:rsid w:val="00051FAB"/>
    <w:rsid w:val="00057825"/>
    <w:rsid w:val="00057925"/>
    <w:rsid w:val="00063E0B"/>
    <w:rsid w:val="000643A0"/>
    <w:rsid w:val="0006498E"/>
    <w:rsid w:val="00066207"/>
    <w:rsid w:val="00073632"/>
    <w:rsid w:val="00073F2D"/>
    <w:rsid w:val="00076495"/>
    <w:rsid w:val="00091A23"/>
    <w:rsid w:val="000C33DB"/>
    <w:rsid w:val="000D02CD"/>
    <w:rsid w:val="000D1B11"/>
    <w:rsid w:val="000D1C47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37F0"/>
    <w:rsid w:val="00156208"/>
    <w:rsid w:val="001659AC"/>
    <w:rsid w:val="001768BA"/>
    <w:rsid w:val="00184A10"/>
    <w:rsid w:val="00191646"/>
    <w:rsid w:val="001A10A2"/>
    <w:rsid w:val="001A12FA"/>
    <w:rsid w:val="001B097C"/>
    <w:rsid w:val="001B6AA1"/>
    <w:rsid w:val="001C69DD"/>
    <w:rsid w:val="001D0187"/>
    <w:rsid w:val="001D0624"/>
    <w:rsid w:val="001D1F70"/>
    <w:rsid w:val="001E3800"/>
    <w:rsid w:val="001E4068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21B3D"/>
    <w:rsid w:val="00231173"/>
    <w:rsid w:val="00244CA3"/>
    <w:rsid w:val="00262A5D"/>
    <w:rsid w:val="00266495"/>
    <w:rsid w:val="00267642"/>
    <w:rsid w:val="002747D9"/>
    <w:rsid w:val="00282312"/>
    <w:rsid w:val="002851B1"/>
    <w:rsid w:val="002A6821"/>
    <w:rsid w:val="002D1420"/>
    <w:rsid w:val="002D3E8C"/>
    <w:rsid w:val="002E2DEF"/>
    <w:rsid w:val="002F0F19"/>
    <w:rsid w:val="002F5259"/>
    <w:rsid w:val="00302E5C"/>
    <w:rsid w:val="00304009"/>
    <w:rsid w:val="00315646"/>
    <w:rsid w:val="00323FC9"/>
    <w:rsid w:val="003254F9"/>
    <w:rsid w:val="003344FC"/>
    <w:rsid w:val="00336364"/>
    <w:rsid w:val="00372357"/>
    <w:rsid w:val="00383C29"/>
    <w:rsid w:val="00397B0B"/>
    <w:rsid w:val="003A03A1"/>
    <w:rsid w:val="003A33F2"/>
    <w:rsid w:val="003A4615"/>
    <w:rsid w:val="003A522C"/>
    <w:rsid w:val="003A6AB6"/>
    <w:rsid w:val="003A6F6A"/>
    <w:rsid w:val="003B76F0"/>
    <w:rsid w:val="003C3199"/>
    <w:rsid w:val="003C441C"/>
    <w:rsid w:val="003E611F"/>
    <w:rsid w:val="004144E2"/>
    <w:rsid w:val="00414B36"/>
    <w:rsid w:val="004153AF"/>
    <w:rsid w:val="00415AE2"/>
    <w:rsid w:val="00417779"/>
    <w:rsid w:val="00421E98"/>
    <w:rsid w:val="004273F4"/>
    <w:rsid w:val="0045392B"/>
    <w:rsid w:val="0047041E"/>
    <w:rsid w:val="004762B0"/>
    <w:rsid w:val="00481DB2"/>
    <w:rsid w:val="0048497E"/>
    <w:rsid w:val="00493E51"/>
    <w:rsid w:val="004A5729"/>
    <w:rsid w:val="004B3AEF"/>
    <w:rsid w:val="004B6A6E"/>
    <w:rsid w:val="004D0D4C"/>
    <w:rsid w:val="004D3719"/>
    <w:rsid w:val="004D473A"/>
    <w:rsid w:val="004E7AC1"/>
    <w:rsid w:val="004F094A"/>
    <w:rsid w:val="00514B61"/>
    <w:rsid w:val="00517BD9"/>
    <w:rsid w:val="00530479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979B5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5F7603"/>
    <w:rsid w:val="00614494"/>
    <w:rsid w:val="006313A0"/>
    <w:rsid w:val="00644471"/>
    <w:rsid w:val="00651022"/>
    <w:rsid w:val="0066278C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08CE"/>
    <w:rsid w:val="006D735C"/>
    <w:rsid w:val="006E775D"/>
    <w:rsid w:val="0070039E"/>
    <w:rsid w:val="007035CD"/>
    <w:rsid w:val="00705A09"/>
    <w:rsid w:val="00707A44"/>
    <w:rsid w:val="00721588"/>
    <w:rsid w:val="0072337A"/>
    <w:rsid w:val="007276A0"/>
    <w:rsid w:val="007304BD"/>
    <w:rsid w:val="00731A44"/>
    <w:rsid w:val="00732F70"/>
    <w:rsid w:val="00741FAB"/>
    <w:rsid w:val="0074389B"/>
    <w:rsid w:val="007506F7"/>
    <w:rsid w:val="00770E81"/>
    <w:rsid w:val="00774268"/>
    <w:rsid w:val="0077775D"/>
    <w:rsid w:val="00795760"/>
    <w:rsid w:val="007A4BF5"/>
    <w:rsid w:val="007A6CCC"/>
    <w:rsid w:val="007A76FF"/>
    <w:rsid w:val="007A7CB3"/>
    <w:rsid w:val="007C0946"/>
    <w:rsid w:val="007C1816"/>
    <w:rsid w:val="007C2D80"/>
    <w:rsid w:val="007D0A2D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2729"/>
    <w:rsid w:val="008A5100"/>
    <w:rsid w:val="008A6988"/>
    <w:rsid w:val="008B577C"/>
    <w:rsid w:val="008D3F3F"/>
    <w:rsid w:val="008D45A5"/>
    <w:rsid w:val="008F2B50"/>
    <w:rsid w:val="00914031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B01CA"/>
    <w:rsid w:val="009D254B"/>
    <w:rsid w:val="009F0777"/>
    <w:rsid w:val="009F4D28"/>
    <w:rsid w:val="00A06031"/>
    <w:rsid w:val="00A15A6F"/>
    <w:rsid w:val="00A17BA5"/>
    <w:rsid w:val="00A26E08"/>
    <w:rsid w:val="00A44935"/>
    <w:rsid w:val="00A453B0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5EE"/>
    <w:rsid w:val="00AD5980"/>
    <w:rsid w:val="00AF1251"/>
    <w:rsid w:val="00AF3094"/>
    <w:rsid w:val="00AF69FE"/>
    <w:rsid w:val="00B06CAC"/>
    <w:rsid w:val="00B118D4"/>
    <w:rsid w:val="00B11E90"/>
    <w:rsid w:val="00B231D1"/>
    <w:rsid w:val="00B438A5"/>
    <w:rsid w:val="00B45C7A"/>
    <w:rsid w:val="00B54406"/>
    <w:rsid w:val="00B55900"/>
    <w:rsid w:val="00B55B95"/>
    <w:rsid w:val="00B67EC9"/>
    <w:rsid w:val="00B70876"/>
    <w:rsid w:val="00B755EB"/>
    <w:rsid w:val="00B84D69"/>
    <w:rsid w:val="00B963FC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0B27"/>
    <w:rsid w:val="00C61ED2"/>
    <w:rsid w:val="00C81152"/>
    <w:rsid w:val="00C9296E"/>
    <w:rsid w:val="00C9473F"/>
    <w:rsid w:val="00C9746D"/>
    <w:rsid w:val="00CB6421"/>
    <w:rsid w:val="00CD36B9"/>
    <w:rsid w:val="00CD70C0"/>
    <w:rsid w:val="00CE0A78"/>
    <w:rsid w:val="00CE6820"/>
    <w:rsid w:val="00CF2F50"/>
    <w:rsid w:val="00D026CE"/>
    <w:rsid w:val="00D229C9"/>
    <w:rsid w:val="00D256B0"/>
    <w:rsid w:val="00D302BC"/>
    <w:rsid w:val="00D4153E"/>
    <w:rsid w:val="00D519D3"/>
    <w:rsid w:val="00D53987"/>
    <w:rsid w:val="00D564BE"/>
    <w:rsid w:val="00D62003"/>
    <w:rsid w:val="00D63563"/>
    <w:rsid w:val="00D7395F"/>
    <w:rsid w:val="00DB4B6E"/>
    <w:rsid w:val="00DB6CEF"/>
    <w:rsid w:val="00DD3478"/>
    <w:rsid w:val="00DD4E06"/>
    <w:rsid w:val="00DE658E"/>
    <w:rsid w:val="00DF1A80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5FB2"/>
    <w:rsid w:val="00EA6750"/>
    <w:rsid w:val="00EC17B6"/>
    <w:rsid w:val="00EC5256"/>
    <w:rsid w:val="00EC5979"/>
    <w:rsid w:val="00ED3B35"/>
    <w:rsid w:val="00EE593E"/>
    <w:rsid w:val="00EF4608"/>
    <w:rsid w:val="00F26EC3"/>
    <w:rsid w:val="00F34190"/>
    <w:rsid w:val="00F532EB"/>
    <w:rsid w:val="00F54A25"/>
    <w:rsid w:val="00F72113"/>
    <w:rsid w:val="00F73873"/>
    <w:rsid w:val="00F7603A"/>
    <w:rsid w:val="00F8789A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86BB7"/>
  <w15:chartTrackingRefBased/>
  <w15:docId w15:val="{57D04D5E-8442-44A4-B4D3-D9B62AD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41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basedOn w:val="DefaultParagraphFont"/>
    <w:link w:val="C2-CtrSglSp"/>
    <w:rsid w:val="00415AE2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415AE2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D7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5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5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5F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unhideWhenUsed/>
    <w:rsid w:val="0022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3CD-E79F-4D8C-9DB4-43DE345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Walters</dc:creator>
  <cp:keywords/>
  <dc:description/>
  <cp:lastModifiedBy>Sylvie Warren</cp:lastModifiedBy>
  <cp:revision>18</cp:revision>
  <cp:lastPrinted>2021-08-08T23:33:00Z</cp:lastPrinted>
  <dcterms:created xsi:type="dcterms:W3CDTF">2021-08-08T23:54:00Z</dcterms:created>
  <dcterms:modified xsi:type="dcterms:W3CDTF">2021-11-05T12:41:00Z</dcterms:modified>
</cp:coreProperties>
</file>