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80F6" w14:textId="77777777" w:rsidR="00625208" w:rsidRPr="006F0550" w:rsidRDefault="00625208" w:rsidP="00625208">
      <w:pPr>
        <w:pStyle w:val="Heading2"/>
        <w:tabs>
          <w:tab w:val="clear" w:pos="1152"/>
        </w:tabs>
        <w:spacing w:before="240" w:after="240" w:line="480" w:lineRule="atLeast"/>
        <w:ind w:left="0" w:firstLine="0"/>
        <w:jc w:val="center"/>
        <w:rPr>
          <w:rFonts w:asciiTheme="minorHAnsi" w:hAnsiTheme="minorHAnsi" w:cstheme="minorHAnsi"/>
          <w:color w:val="01579B"/>
          <w:sz w:val="40"/>
          <w:szCs w:val="40"/>
        </w:rPr>
      </w:pPr>
      <w:r w:rsidRPr="006F0550">
        <w:rPr>
          <w:rFonts w:asciiTheme="minorHAnsi" w:hAnsiTheme="minorHAnsi" w:cstheme="minorHAnsi"/>
          <w:color w:val="01579B"/>
          <w:sz w:val="40"/>
          <w:szCs w:val="40"/>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25208" w:rsidRPr="00625208" w14:paraId="75F498F7" w14:textId="77777777" w:rsidTr="00603AA1">
        <w:trPr>
          <w:cantSplit/>
          <w:trHeight w:val="20"/>
        </w:trPr>
        <w:tc>
          <w:tcPr>
            <w:tcW w:w="10070" w:type="dxa"/>
            <w:shd w:val="clear" w:color="auto" w:fill="01579B"/>
          </w:tcPr>
          <w:p w14:paraId="2A23FE7D" w14:textId="4BA07AA6"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Indicator Description</w:t>
            </w:r>
          </w:p>
        </w:tc>
      </w:tr>
      <w:tr w:rsidR="00625208" w:rsidRPr="00625208" w14:paraId="6C45257D" w14:textId="77777777" w:rsidTr="00603AA1">
        <w:trPr>
          <w:cantSplit/>
          <w:trHeight w:val="20"/>
        </w:trPr>
        <w:tc>
          <w:tcPr>
            <w:tcW w:w="10070" w:type="dxa"/>
            <w:tcBorders>
              <w:bottom w:val="single" w:sz="4" w:space="0" w:color="auto"/>
            </w:tcBorders>
            <w:tcMar>
              <w:top w:w="115" w:type="dxa"/>
              <w:left w:w="115" w:type="dxa"/>
              <w:bottom w:w="115" w:type="dxa"/>
              <w:right w:w="115" w:type="dxa"/>
            </w:tcMar>
          </w:tcPr>
          <w:p w14:paraId="156C1D21" w14:textId="60B24632" w:rsidR="00625208" w:rsidRPr="00625208" w:rsidRDefault="00625208" w:rsidP="00603AA1">
            <w:pPr>
              <w:autoSpaceDE w:val="0"/>
              <w:autoSpaceDN w:val="0"/>
              <w:adjustRightInd w:val="0"/>
              <w:spacing w:after="8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 xml:space="preserve">Percent of youth who are no longer in secondary school, had </w:t>
            </w:r>
            <w:r w:rsidR="0019617E">
              <w:rPr>
                <w:rFonts w:asciiTheme="minorHAnsi" w:hAnsiTheme="minorHAnsi" w:cstheme="minorHAnsi"/>
                <w:color w:val="000000" w:themeColor="text1"/>
                <w:sz w:val="20"/>
              </w:rPr>
              <w:t>IEPs</w:t>
            </w:r>
            <w:r w:rsidR="0019617E">
              <w:rPr>
                <w:rStyle w:val="FootnoteReference"/>
                <w:rFonts w:asciiTheme="minorHAnsi" w:hAnsiTheme="minorHAnsi" w:cstheme="minorHAnsi"/>
                <w:color w:val="000000" w:themeColor="text1"/>
                <w:sz w:val="20"/>
              </w:rPr>
              <w:footnoteReference w:id="1"/>
            </w:r>
            <w:r w:rsidRPr="00625208">
              <w:rPr>
                <w:rFonts w:asciiTheme="minorHAnsi" w:hAnsiTheme="minorHAnsi" w:cstheme="minorHAnsi"/>
                <w:color w:val="000000" w:themeColor="text1"/>
                <w:sz w:val="20"/>
              </w:rPr>
              <w:t xml:space="preserve"> in effect at the time they left school, and were</w:t>
            </w:r>
          </w:p>
          <w:p w14:paraId="6EE0F80F" w14:textId="3E28D306" w:rsidR="00625208" w:rsidRPr="00625208" w:rsidRDefault="00625208" w:rsidP="00603AA1">
            <w:pPr>
              <w:autoSpaceDE w:val="0"/>
              <w:autoSpaceDN w:val="0"/>
              <w:adjustRightInd w:val="0"/>
              <w:spacing w:after="80"/>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14A.</w:t>
            </w:r>
            <w:r w:rsidRPr="00625208">
              <w:rPr>
                <w:rFonts w:asciiTheme="minorHAnsi" w:hAnsiTheme="minorHAnsi" w:cstheme="minorHAnsi"/>
                <w:color w:val="000000" w:themeColor="text1"/>
                <w:sz w:val="20"/>
              </w:rPr>
              <w:tab/>
            </w:r>
            <w:r w:rsidR="00BE60DC">
              <w:rPr>
                <w:rFonts w:asciiTheme="minorHAnsi" w:hAnsiTheme="minorHAnsi" w:cstheme="minorHAnsi"/>
                <w:color w:val="000000" w:themeColor="text1"/>
                <w:sz w:val="20"/>
              </w:rPr>
              <w:t>E</w:t>
            </w:r>
            <w:r w:rsidRPr="00625208">
              <w:rPr>
                <w:rFonts w:asciiTheme="minorHAnsi" w:hAnsiTheme="minorHAnsi" w:cstheme="minorHAnsi"/>
                <w:color w:val="000000" w:themeColor="text1"/>
                <w:sz w:val="20"/>
              </w:rPr>
              <w:t>nrolled in higher education within one year of leaving high school</w:t>
            </w:r>
            <w:r w:rsidR="00BE60DC">
              <w:rPr>
                <w:rFonts w:asciiTheme="minorHAnsi" w:hAnsiTheme="minorHAnsi" w:cstheme="minorHAnsi"/>
                <w:color w:val="000000" w:themeColor="text1"/>
                <w:sz w:val="20"/>
              </w:rPr>
              <w:t>.</w:t>
            </w:r>
          </w:p>
          <w:p w14:paraId="387C9844" w14:textId="58BFE3AF" w:rsidR="00625208" w:rsidRPr="00625208" w:rsidRDefault="00625208" w:rsidP="00603AA1">
            <w:pPr>
              <w:autoSpaceDE w:val="0"/>
              <w:autoSpaceDN w:val="0"/>
              <w:adjustRightInd w:val="0"/>
              <w:spacing w:after="80"/>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14B.</w:t>
            </w:r>
            <w:r w:rsidRPr="00625208">
              <w:rPr>
                <w:rFonts w:asciiTheme="minorHAnsi" w:hAnsiTheme="minorHAnsi" w:cstheme="minorHAnsi"/>
                <w:color w:val="000000" w:themeColor="text1"/>
                <w:sz w:val="20"/>
              </w:rPr>
              <w:tab/>
            </w:r>
            <w:r w:rsidR="00BE60DC">
              <w:rPr>
                <w:rFonts w:asciiTheme="minorHAnsi" w:hAnsiTheme="minorHAnsi" w:cstheme="minorHAnsi"/>
                <w:color w:val="000000" w:themeColor="text1"/>
                <w:sz w:val="20"/>
              </w:rPr>
              <w:t>E</w:t>
            </w:r>
            <w:r w:rsidRPr="00625208">
              <w:rPr>
                <w:rFonts w:asciiTheme="minorHAnsi" w:hAnsiTheme="minorHAnsi" w:cstheme="minorHAnsi"/>
                <w:color w:val="000000" w:themeColor="text1"/>
                <w:sz w:val="20"/>
              </w:rPr>
              <w:t>nrolled in higher education or competitively employed within one year of leaving high school</w:t>
            </w:r>
            <w:r w:rsidR="00BE60DC">
              <w:rPr>
                <w:rFonts w:asciiTheme="minorHAnsi" w:hAnsiTheme="minorHAnsi" w:cstheme="minorHAnsi"/>
                <w:color w:val="000000" w:themeColor="text1"/>
                <w:sz w:val="20"/>
              </w:rPr>
              <w:t>.</w:t>
            </w:r>
          </w:p>
          <w:p w14:paraId="6674FB26" w14:textId="548E9367" w:rsidR="00625208" w:rsidRPr="00625208" w:rsidRDefault="00625208" w:rsidP="00603AA1">
            <w:pPr>
              <w:autoSpaceDE w:val="0"/>
              <w:autoSpaceDN w:val="0"/>
              <w:adjustRightInd w:val="0"/>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14C.</w:t>
            </w:r>
            <w:r w:rsidRPr="00625208">
              <w:rPr>
                <w:rFonts w:asciiTheme="minorHAnsi" w:hAnsiTheme="minorHAnsi" w:cstheme="minorHAnsi"/>
                <w:color w:val="000000" w:themeColor="text1"/>
                <w:sz w:val="20"/>
              </w:rPr>
              <w:tab/>
            </w:r>
            <w:r w:rsidR="00BE60DC">
              <w:rPr>
                <w:rFonts w:asciiTheme="minorHAnsi" w:hAnsiTheme="minorHAnsi" w:cstheme="minorHAnsi"/>
                <w:color w:val="000000" w:themeColor="text1"/>
                <w:sz w:val="20"/>
              </w:rPr>
              <w:t>E</w:t>
            </w:r>
            <w:r w:rsidRPr="00625208">
              <w:rPr>
                <w:rFonts w:asciiTheme="minorHAnsi" w:hAnsiTheme="minorHAnsi" w:cstheme="minorHAnsi"/>
                <w:color w:val="000000" w:themeColor="text1"/>
                <w:sz w:val="20"/>
              </w:rPr>
              <w:t>nrolled in higher education or in some other postsecondary education or training program, or competitively employed or in some other employment within one year of leaving high school.</w:t>
            </w:r>
          </w:p>
        </w:tc>
      </w:tr>
      <w:tr w:rsidR="00625208" w:rsidRPr="00625208" w14:paraId="12CD59D5" w14:textId="77777777" w:rsidTr="00603AA1">
        <w:trPr>
          <w:cantSplit/>
          <w:trHeight w:val="20"/>
        </w:trPr>
        <w:tc>
          <w:tcPr>
            <w:tcW w:w="10070" w:type="dxa"/>
            <w:shd w:val="clear" w:color="auto" w:fill="01579B"/>
          </w:tcPr>
          <w:p w14:paraId="70D3DBDF" w14:textId="27B227DF" w:rsidR="00625208" w:rsidRPr="00625208" w:rsidRDefault="005D50AD" w:rsidP="00603AA1">
            <w:pPr>
              <w:keepN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Measurement</w:t>
            </w:r>
            <w:r w:rsidR="00625208" w:rsidRPr="006F0550">
              <w:rPr>
                <w:rFonts w:asciiTheme="minorHAnsi" w:hAnsiTheme="minorHAnsi" w:cstheme="minorHAnsi"/>
                <w:color w:val="FFFFFF" w:themeColor="background1"/>
                <w:sz w:val="20"/>
                <w:vertAlign w:val="superscript"/>
              </w:rPr>
              <w:footnoteReference w:id="2"/>
            </w:r>
          </w:p>
        </w:tc>
      </w:tr>
      <w:tr w:rsidR="00625208" w:rsidRPr="00625208" w14:paraId="405A933A" w14:textId="77777777" w:rsidTr="00603AA1">
        <w:trPr>
          <w:cantSplit/>
          <w:trHeight w:val="20"/>
        </w:trPr>
        <w:tc>
          <w:tcPr>
            <w:tcW w:w="10070" w:type="dxa"/>
            <w:shd w:val="clear" w:color="auto" w:fill="auto"/>
          </w:tcPr>
          <w:p w14:paraId="31E97743" w14:textId="77777777" w:rsidR="00625208" w:rsidRPr="00625208" w:rsidRDefault="00625208" w:rsidP="00603AA1">
            <w:pPr>
              <w:autoSpaceDE w:val="0"/>
              <w:autoSpaceDN w:val="0"/>
              <w:adjustRightInd w:val="0"/>
              <w:spacing w:after="80"/>
              <w:ind w:left="605" w:hanging="605"/>
              <w:rPr>
                <w:rFonts w:asciiTheme="minorHAnsi" w:hAnsiTheme="minorHAnsi" w:cstheme="minorHAnsi"/>
                <w:color w:val="000000" w:themeColor="text1"/>
                <w:sz w:val="20"/>
              </w:rPr>
            </w:pPr>
            <w:proofErr w:type="gramStart"/>
            <w:r w:rsidRPr="00625208">
              <w:rPr>
                <w:rFonts w:asciiTheme="minorHAnsi" w:hAnsiTheme="minorHAnsi" w:cstheme="minorHAnsi"/>
                <w:color w:val="000000" w:themeColor="text1"/>
                <w:sz w:val="20"/>
              </w:rPr>
              <w:t>14A.</w:t>
            </w:r>
            <w:r w:rsidRPr="00625208">
              <w:rPr>
                <w:rFonts w:asciiTheme="minorHAnsi" w:hAnsiTheme="minorHAnsi" w:cstheme="minorHAnsi"/>
                <w:color w:val="000000" w:themeColor="text1"/>
                <w:sz w:val="20"/>
              </w:rPr>
              <w:tab/>
              <w:t>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roofErr w:type="gramEnd"/>
          </w:p>
          <w:p w14:paraId="0BC1084C" w14:textId="77777777" w:rsidR="00625208" w:rsidRPr="00625208" w:rsidRDefault="00625208" w:rsidP="00603AA1">
            <w:pPr>
              <w:autoSpaceDE w:val="0"/>
              <w:autoSpaceDN w:val="0"/>
              <w:adjustRightInd w:val="0"/>
              <w:spacing w:after="80"/>
              <w:ind w:left="605" w:hanging="605"/>
              <w:rPr>
                <w:rFonts w:asciiTheme="minorHAnsi" w:hAnsiTheme="minorHAnsi" w:cstheme="minorHAnsi"/>
                <w:color w:val="000000" w:themeColor="text1"/>
                <w:sz w:val="20"/>
              </w:rPr>
            </w:pPr>
            <w:proofErr w:type="gramStart"/>
            <w:r w:rsidRPr="00625208">
              <w:rPr>
                <w:rFonts w:asciiTheme="minorHAnsi" w:hAnsiTheme="minorHAnsi" w:cstheme="minorHAnsi"/>
                <w:color w:val="000000" w:themeColor="text1"/>
                <w:sz w:val="20"/>
              </w:rPr>
              <w:t>14B.</w:t>
            </w:r>
            <w:r w:rsidRPr="00625208">
              <w:rPr>
                <w:rFonts w:asciiTheme="minorHAnsi" w:hAnsiTheme="minorHAnsi" w:cstheme="minorHAnsi"/>
                <w:color w:val="000000" w:themeColor="text1"/>
                <w:sz w:val="20"/>
              </w:rPr>
              <w:tab/>
              <w:t>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roofErr w:type="gramEnd"/>
          </w:p>
          <w:p w14:paraId="49950623" w14:textId="77777777" w:rsidR="00625208" w:rsidRPr="00625208" w:rsidRDefault="00625208" w:rsidP="00603AA1">
            <w:pPr>
              <w:autoSpaceDE w:val="0"/>
              <w:autoSpaceDN w:val="0"/>
              <w:adjustRightInd w:val="0"/>
              <w:spacing w:after="80"/>
              <w:ind w:left="605" w:hanging="605"/>
              <w:rPr>
                <w:rFonts w:asciiTheme="minorHAnsi" w:hAnsiTheme="minorHAnsi" w:cstheme="minorHAnsi"/>
                <w:color w:val="000000" w:themeColor="text1"/>
                <w:sz w:val="20"/>
              </w:rPr>
            </w:pPr>
            <w:proofErr w:type="gramStart"/>
            <w:r w:rsidRPr="00625208">
              <w:rPr>
                <w:rFonts w:asciiTheme="minorHAnsi" w:hAnsiTheme="minorHAnsi" w:cstheme="minorHAnsi"/>
                <w:color w:val="000000" w:themeColor="text1"/>
                <w:sz w:val="20"/>
              </w:rPr>
              <w:t>14C.</w:t>
            </w:r>
            <w:r w:rsidRPr="00625208">
              <w:rPr>
                <w:rFonts w:asciiTheme="minorHAnsi" w:hAnsiTheme="minorHAnsi" w:cstheme="minorHAnsi"/>
                <w:color w:val="000000" w:themeColor="text1"/>
                <w:sz w:val="20"/>
              </w:rPr>
              <w:tab/>
              <w:t>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roofErr w:type="gramEnd"/>
          </w:p>
          <w:p w14:paraId="694B1C6F" w14:textId="77777777" w:rsidR="00625208" w:rsidRPr="00625208" w:rsidRDefault="00625208" w:rsidP="00603AA1">
            <w:pPr>
              <w:autoSpaceDE w:val="0"/>
              <w:autoSpaceDN w:val="0"/>
              <w:adjustRightInd w:val="0"/>
              <w:ind w:left="605" w:hanging="605"/>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Provide actual numbers in each mutually exclusive category.</w:t>
            </w:r>
          </w:p>
        </w:tc>
      </w:tr>
      <w:tr w:rsidR="000841DB" w:rsidRPr="00625208" w14:paraId="05DCF70B" w14:textId="77777777" w:rsidTr="00603AA1">
        <w:trPr>
          <w:cantSplit/>
          <w:trHeight w:val="20"/>
        </w:trPr>
        <w:tc>
          <w:tcPr>
            <w:tcW w:w="10070" w:type="dxa"/>
            <w:shd w:val="clear" w:color="auto" w:fill="01579B"/>
          </w:tcPr>
          <w:p w14:paraId="49456267" w14:textId="1364FA41" w:rsidR="000841DB" w:rsidRPr="00625208" w:rsidRDefault="000841DB" w:rsidP="00603AA1">
            <w:pPr>
              <w:keepNext/>
              <w:rPr>
                <w:rFonts w:asciiTheme="minorHAnsi" w:hAnsiTheme="minorHAnsi" w:cstheme="minorHAnsi"/>
                <w:b/>
                <w:color w:val="FFFFFF" w:themeColor="background1"/>
                <w:sz w:val="20"/>
              </w:rPr>
            </w:pPr>
            <w:proofErr w:type="gramStart"/>
            <w:r w:rsidRPr="00BE60DC">
              <w:rPr>
                <w:rFonts w:asciiTheme="minorHAnsi" w:hAnsiTheme="minorHAnsi" w:cstheme="minorHAnsi"/>
                <w:b/>
                <w:color w:val="FFFFFF" w:themeColor="background1"/>
                <w:sz w:val="20"/>
              </w:rPr>
              <w:lastRenderedPageBreak/>
              <w:t>Stakeholder Engagement:</w:t>
            </w:r>
            <w:r w:rsidRPr="00BE60DC">
              <w:rPr>
                <w:rFonts w:asciiTheme="minorHAnsi" w:hAnsiTheme="minorHAnsi" w:cstheme="minorHAnsi"/>
                <w:sz w:val="20"/>
              </w:rPr>
              <w:t xml:space="preserve"> </w:t>
            </w:r>
            <w:r w:rsidRPr="00BE60DC">
              <w:rPr>
                <w:rFonts w:asciiTheme="minorHAnsi" w:hAnsiTheme="minorHAnsi" w:cstheme="minorHAnsi"/>
                <w:bCs/>
                <w:color w:val="FFFFFF" w:themeColor="background1"/>
                <w:sz w:val="20"/>
              </w:rPr>
              <w:t xml:space="preserve">Describe the process the </w:t>
            </w:r>
            <w:r w:rsidR="00BE60DC" w:rsidRPr="00DC783D">
              <w:rPr>
                <w:rFonts w:asciiTheme="minorHAnsi" w:hAnsiTheme="minorHAnsi" w:cstheme="minorHAnsi"/>
                <w:bCs/>
                <w:color w:val="FFFFFF" w:themeColor="background1"/>
                <w:sz w:val="20"/>
              </w:rPr>
              <w:t>SEA</w:t>
            </w:r>
            <w:r w:rsidR="00BE60DC" w:rsidRPr="00BE60DC">
              <w:rPr>
                <w:rFonts w:asciiTheme="minorHAnsi" w:hAnsiTheme="minorHAnsi" w:cstheme="minorHAnsi"/>
                <w:bCs/>
                <w:color w:val="FFFFFF" w:themeColor="background1"/>
                <w:sz w:val="20"/>
              </w:rPr>
              <w:t xml:space="preserve"> </w:t>
            </w:r>
            <w:r w:rsidRPr="00BE60DC">
              <w:rPr>
                <w:rFonts w:asciiTheme="minorHAnsi" w:hAnsiTheme="minorHAnsi" w:cstheme="minorHAnsi"/>
                <w:bCs/>
                <w:color w:val="FFFFFF" w:themeColor="background1"/>
                <w:sz w:val="20"/>
              </w:rPr>
              <w:t xml:space="preserve">uses to engage stakeholders for the SPP/APR that includes broad stakeholder input and includes </w:t>
            </w:r>
            <w:r w:rsidR="008A58AB">
              <w:rPr>
                <w:rFonts w:asciiTheme="minorHAnsi" w:hAnsiTheme="minorHAnsi" w:cstheme="minorHAnsi"/>
                <w:bCs/>
                <w:color w:val="FFFFFF" w:themeColor="background1"/>
                <w:sz w:val="20"/>
              </w:rPr>
              <w:t>(</w:t>
            </w:r>
            <w:r w:rsidRPr="00BE60DC">
              <w:rPr>
                <w:rFonts w:asciiTheme="minorHAnsi" w:hAnsiTheme="minorHAnsi" w:cstheme="minorHAnsi"/>
                <w:bCs/>
                <w:color w:val="FFFFFF" w:themeColor="background1"/>
                <w:sz w:val="20"/>
              </w:rPr>
              <w:t>a) the number of parents (parent members of organizations and individual parents)  engaged in setting targets, analyzing data, developing improvement activities</w:t>
            </w:r>
            <w:r w:rsidR="00BE60DC" w:rsidRPr="00C62580">
              <w:rPr>
                <w:rFonts w:asciiTheme="minorHAnsi" w:hAnsiTheme="minorHAnsi" w:cstheme="minorHAnsi"/>
                <w:bCs/>
                <w:color w:val="FFFFFF" w:themeColor="background1"/>
                <w:sz w:val="20"/>
              </w:rPr>
              <w:t>,</w:t>
            </w:r>
            <w:r w:rsidRPr="00BE60DC">
              <w:rPr>
                <w:rFonts w:asciiTheme="minorHAnsi" w:hAnsiTheme="minorHAnsi" w:cstheme="minorHAnsi"/>
                <w:bCs/>
                <w:color w:val="FFFFFF" w:themeColor="background1"/>
                <w:sz w:val="20"/>
              </w:rPr>
              <w:t xml:space="preserve"> and evaluating progress; </w:t>
            </w:r>
            <w:r w:rsidR="008A58AB">
              <w:rPr>
                <w:rFonts w:asciiTheme="minorHAnsi" w:hAnsiTheme="minorHAnsi" w:cstheme="minorHAnsi"/>
                <w:bCs/>
                <w:color w:val="FFFFFF" w:themeColor="background1"/>
                <w:sz w:val="20"/>
              </w:rPr>
              <w:t>(</w:t>
            </w:r>
            <w:r w:rsidRPr="00BE60DC">
              <w:rPr>
                <w:rFonts w:asciiTheme="minorHAnsi" w:hAnsiTheme="minorHAnsi" w:cstheme="minorHAnsi"/>
                <w:bCs/>
                <w:color w:val="FFFFFF" w:themeColor="background1"/>
                <w:sz w:val="20"/>
              </w:rPr>
              <w:t xml:space="preserve">b) description of activities conducted to increase the capacity of diverse groups of parents to support the development of implementation of activities to improve outcomes; </w:t>
            </w:r>
            <w:r w:rsidR="008A58AB">
              <w:rPr>
                <w:rFonts w:asciiTheme="minorHAnsi" w:hAnsiTheme="minorHAnsi" w:cstheme="minorHAnsi"/>
                <w:bCs/>
                <w:color w:val="FFFFFF" w:themeColor="background1"/>
                <w:sz w:val="20"/>
              </w:rPr>
              <w:t>(</w:t>
            </w:r>
            <w:r w:rsidRPr="00BE60DC">
              <w:rPr>
                <w:rFonts w:asciiTheme="minorHAnsi" w:hAnsiTheme="minorHAnsi" w:cstheme="minorHAnsi"/>
                <w:bCs/>
                <w:color w:val="FFFFFF" w:themeColor="background1"/>
                <w:sz w:val="20"/>
              </w:rPr>
              <w:t xml:space="preserve">c) the mechanisms and timeline for soliciting input for target setting, analyzing data, developing improvement strategies, and evaluating progress; and </w:t>
            </w:r>
            <w:r w:rsidR="008A58AB">
              <w:rPr>
                <w:rFonts w:asciiTheme="minorHAnsi" w:hAnsiTheme="minorHAnsi" w:cstheme="minorHAnsi"/>
                <w:bCs/>
                <w:color w:val="FFFFFF" w:themeColor="background1"/>
                <w:sz w:val="20"/>
              </w:rPr>
              <w:t>(</w:t>
            </w:r>
            <w:r w:rsidRPr="00BE60DC">
              <w:rPr>
                <w:rFonts w:asciiTheme="minorHAnsi" w:hAnsiTheme="minorHAnsi" w:cstheme="minorHAnsi"/>
                <w:bCs/>
                <w:color w:val="FFFFFF" w:themeColor="background1"/>
                <w:sz w:val="20"/>
              </w:rPr>
              <w:t>d) mechanisms and timelines for mak</w:t>
            </w:r>
            <w:r w:rsidR="00BE60DC" w:rsidRPr="00DC783D">
              <w:rPr>
                <w:rFonts w:asciiTheme="minorHAnsi" w:hAnsiTheme="minorHAnsi" w:cstheme="minorHAnsi"/>
                <w:bCs/>
                <w:color w:val="FFFFFF" w:themeColor="background1"/>
                <w:sz w:val="20"/>
              </w:rPr>
              <w:t>ing</w:t>
            </w:r>
            <w:r w:rsidRPr="00BE60DC">
              <w:rPr>
                <w:rFonts w:asciiTheme="minorHAnsi" w:hAnsiTheme="minorHAnsi" w:cstheme="minorHAnsi"/>
                <w:bCs/>
                <w:color w:val="FFFFFF" w:themeColor="background1"/>
                <w:sz w:val="20"/>
              </w:rPr>
              <w:t xml:space="preserve"> the results of the target setting, data analysis, development of improvement strategies, and evaluation available to the public.</w:t>
            </w:r>
            <w:proofErr w:type="gramEnd"/>
          </w:p>
        </w:tc>
      </w:tr>
      <w:tr w:rsidR="000841DB" w:rsidRPr="00625208" w14:paraId="20D3E954" w14:textId="77777777" w:rsidTr="00603AA1">
        <w:trPr>
          <w:cantSplit/>
          <w:trHeight w:val="20"/>
        </w:trPr>
        <w:tc>
          <w:tcPr>
            <w:tcW w:w="10070" w:type="dxa"/>
            <w:shd w:val="clear" w:color="auto" w:fill="FFFFFF" w:themeFill="background1"/>
          </w:tcPr>
          <w:p w14:paraId="068B15E7" w14:textId="77777777" w:rsidR="000841DB" w:rsidRPr="00625208" w:rsidRDefault="000841DB" w:rsidP="00603AA1">
            <w:pPr>
              <w:autoSpaceDE w:val="0"/>
              <w:autoSpaceDN w:val="0"/>
              <w:adjustRightInd w:val="0"/>
              <w:rPr>
                <w:rFonts w:asciiTheme="minorHAnsi" w:hAnsiTheme="minorHAnsi" w:cstheme="minorHAnsi"/>
                <w:b/>
                <w:color w:val="FFFFFF" w:themeColor="background1"/>
                <w:sz w:val="20"/>
              </w:rPr>
            </w:pPr>
          </w:p>
        </w:tc>
      </w:tr>
      <w:tr w:rsidR="00625208" w:rsidRPr="00625208" w14:paraId="1D79A919" w14:textId="77777777" w:rsidTr="00603AA1">
        <w:trPr>
          <w:cantSplit/>
          <w:trHeight w:val="20"/>
        </w:trPr>
        <w:tc>
          <w:tcPr>
            <w:tcW w:w="10070" w:type="dxa"/>
            <w:shd w:val="clear" w:color="auto" w:fill="01579B"/>
          </w:tcPr>
          <w:p w14:paraId="54807D13" w14:textId="079CAA06" w:rsidR="00625208" w:rsidRPr="00625208" w:rsidRDefault="00625208" w:rsidP="00603AA1">
            <w:pPr>
              <w:keepNex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t>Target Setting:</w:t>
            </w:r>
            <w:r w:rsidRPr="002B5D48">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This is a results indicator.</w:t>
            </w:r>
            <w:r w:rsidRPr="00625208">
              <w:rPr>
                <w:rFonts w:asciiTheme="minorHAnsi" w:hAnsiTheme="minorHAnsi" w:cstheme="minorHAnsi"/>
                <w:b/>
                <w:color w:val="FFFFFF" w:themeColor="background1"/>
                <w:sz w:val="20"/>
              </w:rPr>
              <w:t xml:space="preserve"> </w:t>
            </w:r>
            <w:r w:rsidRPr="00625208">
              <w:rPr>
                <w:rFonts w:asciiTheme="minorHAnsi" w:hAnsiTheme="minorHAnsi" w:cstheme="minorHAnsi"/>
                <w:color w:val="FFFFFF" w:themeColor="background1"/>
                <w:sz w:val="20"/>
              </w:rPr>
              <w:t xml:space="preserve">Describe the process </w:t>
            </w:r>
            <w:r w:rsidR="002B5D48">
              <w:rPr>
                <w:rFonts w:asciiTheme="minorHAnsi" w:hAnsiTheme="minorHAnsi" w:cstheme="minorHAnsi"/>
                <w:color w:val="FFFFFF" w:themeColor="background1"/>
                <w:sz w:val="20"/>
              </w:rPr>
              <w:t>the SEA</w:t>
            </w:r>
            <w:r w:rsidRPr="00625208">
              <w:rPr>
                <w:rFonts w:asciiTheme="minorHAnsi" w:hAnsiTheme="minorHAnsi" w:cstheme="minorHAnsi"/>
                <w:color w:val="FFFFFF" w:themeColor="background1"/>
                <w:sz w:val="20"/>
              </w:rPr>
              <w:t xml:space="preserve"> uses to engage stakeholders </w:t>
            </w:r>
            <w:r w:rsidR="00A816B5">
              <w:rPr>
                <w:rFonts w:asciiTheme="minorHAnsi" w:hAnsiTheme="minorHAnsi" w:cstheme="minorHAnsi"/>
                <w:color w:val="FFFFFF" w:themeColor="background1"/>
                <w:sz w:val="20"/>
              </w:rPr>
              <w:t>to set targets</w:t>
            </w:r>
            <w:r w:rsidRPr="00625208">
              <w:rPr>
                <w:rFonts w:asciiTheme="minorHAnsi" w:hAnsiTheme="minorHAnsi" w:cstheme="minorHAnsi"/>
                <w:color w:val="FFFFFF" w:themeColor="background1"/>
                <w:sz w:val="20"/>
              </w:rPr>
              <w:t>.</w:t>
            </w:r>
          </w:p>
        </w:tc>
      </w:tr>
      <w:tr w:rsidR="00625208" w:rsidRPr="00625208" w14:paraId="67747126" w14:textId="77777777" w:rsidTr="00603AA1">
        <w:trPr>
          <w:cantSplit/>
          <w:trHeight w:val="20"/>
        </w:trPr>
        <w:tc>
          <w:tcPr>
            <w:tcW w:w="10070" w:type="dxa"/>
            <w:shd w:val="clear" w:color="auto" w:fill="9EBAE2"/>
          </w:tcPr>
          <w:p w14:paraId="2778D6A2" w14:textId="77777777" w:rsidR="00625208" w:rsidRPr="00625208" w:rsidRDefault="00625208" w:rsidP="00603AA1">
            <w:pPr>
              <w:keepNex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Targets must be established for measures A, B, and C.</w:t>
            </w:r>
          </w:p>
        </w:tc>
      </w:tr>
      <w:tr w:rsidR="00625208" w:rsidRPr="00625208" w14:paraId="672A6659" w14:textId="77777777" w:rsidTr="00603AA1">
        <w:trPr>
          <w:cantSplit/>
          <w:trHeight w:val="20"/>
        </w:trPr>
        <w:tc>
          <w:tcPr>
            <w:tcW w:w="10070" w:type="dxa"/>
            <w:shd w:val="clear" w:color="auto" w:fill="auto"/>
          </w:tcPr>
          <w:p w14:paraId="0A37501D"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7538D553" w14:textId="77777777" w:rsidTr="00603AA1">
        <w:trPr>
          <w:cantSplit/>
          <w:trHeight w:val="20"/>
        </w:trPr>
        <w:tc>
          <w:tcPr>
            <w:tcW w:w="10070" w:type="dxa"/>
            <w:shd w:val="clear" w:color="auto" w:fill="01579B"/>
          </w:tcPr>
          <w:p w14:paraId="226393E3" w14:textId="0698DAC1" w:rsidR="00625208" w:rsidRPr="00BE60DC" w:rsidRDefault="000841DB" w:rsidP="00603AA1">
            <w:pPr>
              <w:keepNext/>
              <w:rPr>
                <w:rFonts w:asciiTheme="minorHAnsi" w:hAnsiTheme="minorHAnsi" w:cstheme="minorHAnsi"/>
                <w:b/>
                <w:color w:val="FFFFFF" w:themeColor="background1"/>
                <w:sz w:val="20"/>
              </w:rPr>
            </w:pPr>
            <w:r w:rsidRPr="002B5D48">
              <w:rPr>
                <w:rFonts w:asciiTheme="minorHAnsi" w:hAnsiTheme="minorHAnsi" w:cstheme="minorHAnsi"/>
                <w:b/>
                <w:color w:val="FFFFFF" w:themeColor="background1"/>
                <w:sz w:val="20"/>
              </w:rPr>
              <w:t>Online SPP/APR Submission Tool Information:</w:t>
            </w:r>
            <w:r w:rsidRPr="002B5D48">
              <w:rPr>
                <w:rFonts w:asciiTheme="minorHAnsi" w:hAnsiTheme="minorHAnsi" w:cstheme="minorHAnsi"/>
                <w:color w:val="FFFFFF" w:themeColor="background1"/>
                <w:sz w:val="20"/>
              </w:rPr>
              <w:t xml:space="preserve"> </w:t>
            </w:r>
            <w:r w:rsidRPr="002B5D48">
              <w:rPr>
                <w:rFonts w:asciiTheme="minorHAnsi" w:hAnsiTheme="minorHAnsi" w:cstheme="minorHAnsi"/>
                <w:bCs/>
                <w:color w:val="FFFFFF" w:themeColor="background1"/>
                <w:sz w:val="20"/>
              </w:rPr>
              <w:t>Describe login information, who has access, how to gain access for additional staff</w:t>
            </w:r>
            <w:r w:rsidR="002B5D48">
              <w:rPr>
                <w:rFonts w:asciiTheme="minorHAnsi" w:hAnsiTheme="minorHAnsi" w:cstheme="minorHAnsi"/>
                <w:bCs/>
                <w:color w:val="FFFFFF" w:themeColor="background1"/>
                <w:sz w:val="20"/>
              </w:rPr>
              <w:t>,</w:t>
            </w:r>
            <w:r w:rsidRPr="002B5D48">
              <w:rPr>
                <w:rFonts w:asciiTheme="minorHAnsi" w:hAnsiTheme="minorHAnsi" w:cstheme="minorHAnsi"/>
                <w:bCs/>
                <w:color w:val="FFFFFF" w:themeColor="background1"/>
                <w:sz w:val="20"/>
              </w:rPr>
              <w:t xml:space="preserve"> and how to access online </w:t>
            </w:r>
            <w:r w:rsidR="008A58AB">
              <w:rPr>
                <w:rFonts w:asciiTheme="minorHAnsi" w:hAnsiTheme="minorHAnsi" w:cstheme="minorHAnsi"/>
                <w:bCs/>
                <w:color w:val="FFFFFF" w:themeColor="background1"/>
                <w:sz w:val="20"/>
              </w:rPr>
              <w:t>SPP/APR submission tool support</w:t>
            </w:r>
            <w:bookmarkStart w:id="0" w:name="_GoBack"/>
            <w:bookmarkEnd w:id="0"/>
            <w:r w:rsidRPr="002B5D48">
              <w:rPr>
                <w:rFonts w:asciiTheme="minorHAnsi" w:hAnsiTheme="minorHAnsi" w:cstheme="minorHAnsi"/>
                <w:bCs/>
                <w:color w:val="FFFFFF" w:themeColor="background1"/>
                <w:sz w:val="20"/>
              </w:rPr>
              <w:t>.</w:t>
            </w:r>
          </w:p>
        </w:tc>
      </w:tr>
      <w:tr w:rsidR="00625208" w:rsidRPr="00625208" w14:paraId="5DAB6C7B" w14:textId="77777777" w:rsidTr="00603AA1">
        <w:trPr>
          <w:cantSplit/>
          <w:trHeight w:val="20"/>
        </w:trPr>
        <w:tc>
          <w:tcPr>
            <w:tcW w:w="10070" w:type="dxa"/>
            <w:tcBorders>
              <w:bottom w:val="single" w:sz="4" w:space="0" w:color="auto"/>
            </w:tcBorders>
            <w:tcMar>
              <w:top w:w="115" w:type="dxa"/>
              <w:left w:w="115" w:type="dxa"/>
              <w:bottom w:w="115" w:type="dxa"/>
              <w:right w:w="115" w:type="dxa"/>
            </w:tcMar>
          </w:tcPr>
          <w:p w14:paraId="02EB378F"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58E6C69B" w14:textId="77777777" w:rsidTr="00603AA1">
        <w:trPr>
          <w:cantSplit/>
          <w:trHeight w:val="20"/>
        </w:trPr>
        <w:tc>
          <w:tcPr>
            <w:tcW w:w="10070" w:type="dxa"/>
            <w:shd w:val="clear" w:color="auto" w:fill="01579B"/>
          </w:tcPr>
          <w:p w14:paraId="7AE05FDA" w14:textId="39567AD5"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Data Stewards:</w:t>
            </w:r>
            <w:r w:rsidRPr="00625208">
              <w:rPr>
                <w:rFonts w:asciiTheme="minorHAnsi" w:hAnsiTheme="minorHAnsi" w:cstheme="minorHAnsi"/>
                <w:color w:val="FFFFFF" w:themeColor="background1"/>
                <w:sz w:val="20"/>
              </w:rPr>
              <w:t xml:space="preserve"> Provide titles and names, contact information, department, and any notes on persons responsible for </w:t>
            </w:r>
            <w:r w:rsidR="002B5D48">
              <w:rPr>
                <w:rFonts w:asciiTheme="minorHAnsi" w:hAnsiTheme="minorHAnsi" w:cstheme="minorHAnsi"/>
                <w:color w:val="FFFFFF" w:themeColor="background1"/>
                <w:sz w:val="20"/>
              </w:rPr>
              <w:t xml:space="preserve">data </w:t>
            </w:r>
            <w:r w:rsidRPr="00625208">
              <w:rPr>
                <w:rFonts w:asciiTheme="minorHAnsi" w:hAnsiTheme="minorHAnsi" w:cstheme="minorHAnsi"/>
                <w:color w:val="FFFFFF" w:themeColor="background1"/>
                <w:sz w:val="20"/>
              </w:rPr>
              <w:t>collection, validation, and submission. If there are multiple parties responsible or involved in the process, list them all.</w:t>
            </w:r>
          </w:p>
        </w:tc>
      </w:tr>
      <w:tr w:rsidR="00625208" w:rsidRPr="00625208" w14:paraId="6A05A809" w14:textId="77777777" w:rsidTr="00603AA1">
        <w:trPr>
          <w:cantSplit/>
          <w:trHeight w:val="20"/>
        </w:trPr>
        <w:tc>
          <w:tcPr>
            <w:tcW w:w="10070" w:type="dxa"/>
            <w:tcBorders>
              <w:bottom w:val="single" w:sz="4" w:space="0" w:color="auto"/>
            </w:tcBorders>
          </w:tcPr>
          <w:p w14:paraId="5A39BBE3"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28D55859" w14:textId="77777777" w:rsidTr="00603AA1">
        <w:trPr>
          <w:cantSplit/>
          <w:trHeight w:val="20"/>
        </w:trPr>
        <w:tc>
          <w:tcPr>
            <w:tcW w:w="10070" w:type="dxa"/>
            <w:shd w:val="clear" w:color="auto" w:fill="01579B"/>
          </w:tcPr>
          <w:p w14:paraId="10A361A9" w14:textId="6AA176FE" w:rsidR="00625208" w:rsidRPr="00625208" w:rsidRDefault="00625208" w:rsidP="00603AA1">
            <w:pPr>
              <w:keepNex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t>Data Source Description:</w:t>
            </w:r>
            <w:r w:rsidRPr="002B5D48">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 xml:space="preserve">Provide a short description of the database or data system </w:t>
            </w:r>
            <w:r w:rsidR="002B5D48">
              <w:rPr>
                <w:rFonts w:asciiTheme="minorHAnsi" w:hAnsiTheme="minorHAnsi" w:cstheme="minorHAnsi"/>
                <w:color w:val="FFFFFF" w:themeColor="background1"/>
                <w:sz w:val="20"/>
              </w:rPr>
              <w:t>the SEA</w:t>
            </w:r>
            <w:r w:rsidRPr="00625208">
              <w:rPr>
                <w:rFonts w:asciiTheme="minorHAnsi" w:hAnsiTheme="minorHAnsi" w:cstheme="minorHAnsi"/>
                <w:color w:val="FFFFFF" w:themeColor="background1"/>
                <w:sz w:val="20"/>
              </w:rPr>
              <w:t xml:space="preserve"> uses to process data for this indicator. </w:t>
            </w:r>
          </w:p>
        </w:tc>
      </w:tr>
      <w:tr w:rsidR="00625208" w:rsidRPr="00625208" w14:paraId="78138EEE" w14:textId="77777777" w:rsidTr="00603AA1">
        <w:trPr>
          <w:cantSplit/>
          <w:trHeight w:val="20"/>
        </w:trPr>
        <w:tc>
          <w:tcPr>
            <w:tcW w:w="10070" w:type="dxa"/>
            <w:shd w:val="clear" w:color="auto" w:fill="9EBAE2"/>
          </w:tcPr>
          <w:p w14:paraId="2D5254FE" w14:textId="77777777" w:rsidR="00625208" w:rsidRPr="00625208" w:rsidRDefault="00625208" w:rsidP="00603AA1">
            <w:pPr>
              <w:keepNext/>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 xml:space="preserve">State-selected data source. Sampling </w:t>
            </w:r>
            <w:proofErr w:type="gramStart"/>
            <w:r w:rsidRPr="00625208">
              <w:rPr>
                <w:rFonts w:asciiTheme="minorHAnsi" w:hAnsiTheme="minorHAnsi" w:cstheme="minorHAnsi"/>
                <w:color w:val="000000" w:themeColor="text1"/>
                <w:sz w:val="20"/>
              </w:rPr>
              <w:t>is allowed</w:t>
            </w:r>
            <w:proofErr w:type="gramEnd"/>
            <w:r w:rsidRPr="00625208">
              <w:rPr>
                <w:rFonts w:asciiTheme="minorHAnsi" w:hAnsiTheme="minorHAnsi" w:cstheme="minorHAnsi"/>
                <w:color w:val="000000" w:themeColor="text1"/>
                <w:sz w:val="20"/>
              </w:rPr>
              <w:t>.</w:t>
            </w:r>
          </w:p>
        </w:tc>
      </w:tr>
      <w:tr w:rsidR="00625208" w:rsidRPr="00625208" w14:paraId="41C8F396" w14:textId="77777777" w:rsidTr="00603AA1">
        <w:trPr>
          <w:cantSplit/>
          <w:trHeight w:val="20"/>
        </w:trPr>
        <w:tc>
          <w:tcPr>
            <w:tcW w:w="10070" w:type="dxa"/>
            <w:tcBorders>
              <w:bottom w:val="single" w:sz="4" w:space="0" w:color="auto"/>
            </w:tcBorders>
            <w:shd w:val="clear" w:color="auto" w:fill="auto"/>
          </w:tcPr>
          <w:p w14:paraId="72A3D3EC"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55D1FF03" w14:textId="77777777" w:rsidTr="00603AA1">
        <w:trPr>
          <w:cantSplit/>
          <w:trHeight w:val="20"/>
        </w:trPr>
        <w:tc>
          <w:tcPr>
            <w:tcW w:w="10070" w:type="dxa"/>
            <w:shd w:val="clear" w:color="auto" w:fill="01579B"/>
          </w:tcPr>
          <w:p w14:paraId="1E5299F7" w14:textId="4388860A" w:rsidR="00625208" w:rsidRPr="00625208" w:rsidRDefault="00625208" w:rsidP="00603AA1">
            <w:pPr>
              <w:keepNext/>
              <w:rPr>
                <w:rFonts w:asciiTheme="minorHAnsi" w:hAnsiTheme="minorHAnsi" w:cstheme="minorHAnsi"/>
                <w:color w:val="FFFFFF" w:themeColor="background1"/>
                <w:sz w:val="20"/>
              </w:rPr>
            </w:pPr>
            <w:r w:rsidRPr="00625208">
              <w:rPr>
                <w:rFonts w:asciiTheme="minorHAnsi" w:hAnsiTheme="minorHAnsi" w:cstheme="minorHAnsi"/>
                <w:b/>
                <w:color w:val="FFFFFF" w:themeColor="background1"/>
                <w:sz w:val="20"/>
              </w:rPr>
              <w:t>State Collection and Submission Schedule:</w:t>
            </w:r>
            <w:r w:rsidRPr="002B5D48">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 xml:space="preserve">Provide a list of dates necessary for this data collection, including when the data collection period opens, when data are due from the local education agencies (LEAs), and when assigned </w:t>
            </w:r>
            <w:r w:rsidR="002B5D48">
              <w:rPr>
                <w:rFonts w:asciiTheme="minorHAnsi" w:hAnsiTheme="minorHAnsi" w:cstheme="minorHAnsi"/>
                <w:color w:val="FFFFFF" w:themeColor="background1"/>
                <w:sz w:val="20"/>
              </w:rPr>
              <w:t xml:space="preserve">SEA </w:t>
            </w:r>
            <w:r w:rsidRPr="00625208">
              <w:rPr>
                <w:rFonts w:asciiTheme="minorHAnsi" w:hAnsiTheme="minorHAnsi" w:cstheme="minorHAnsi"/>
                <w:color w:val="FFFFFF" w:themeColor="background1"/>
                <w:sz w:val="20"/>
              </w:rPr>
              <w:t>staff pull the data after the collection closes.</w:t>
            </w:r>
          </w:p>
        </w:tc>
      </w:tr>
      <w:tr w:rsidR="00625208" w:rsidRPr="00625208" w14:paraId="0D0B940D" w14:textId="77777777" w:rsidTr="00603AA1">
        <w:trPr>
          <w:cantSplit/>
          <w:trHeight w:val="20"/>
        </w:trPr>
        <w:tc>
          <w:tcPr>
            <w:tcW w:w="10070" w:type="dxa"/>
            <w:shd w:val="clear" w:color="auto" w:fill="auto"/>
          </w:tcPr>
          <w:p w14:paraId="0E27B00A"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bl>
    <w:p w14:paraId="60061E4C" w14:textId="77777777" w:rsidR="00625208" w:rsidRPr="00625208" w:rsidRDefault="00625208" w:rsidP="00625208">
      <w:pPr>
        <w:rPr>
          <w:rFonts w:asciiTheme="minorHAnsi" w:hAnsiTheme="minorHAnsi" w:cstheme="minorHAnsi"/>
        </w:rPr>
      </w:pPr>
    </w:p>
    <w:p w14:paraId="2E4BAEC0" w14:textId="77777777" w:rsidR="00625208" w:rsidRPr="00603AA1" w:rsidRDefault="00625208" w:rsidP="00603AA1">
      <w:pPr>
        <w:pStyle w:val="Heading2"/>
        <w:tabs>
          <w:tab w:val="clear" w:pos="1152"/>
        </w:tabs>
        <w:spacing w:before="240" w:after="240" w:line="480" w:lineRule="atLeast"/>
        <w:ind w:left="0" w:firstLine="0"/>
        <w:jc w:val="center"/>
        <w:rPr>
          <w:rFonts w:asciiTheme="minorHAnsi" w:hAnsiTheme="minorHAnsi" w:cstheme="minorHAnsi"/>
          <w:color w:val="01579B"/>
          <w:sz w:val="40"/>
          <w:szCs w:val="40"/>
        </w:rPr>
      </w:pPr>
      <w:r w:rsidRPr="00603AA1">
        <w:rPr>
          <w:rFonts w:asciiTheme="minorHAnsi" w:hAnsiTheme="minorHAnsi" w:cstheme="minorHAnsi"/>
          <w:color w:val="01579B"/>
          <w:sz w:val="40"/>
          <w:szCs w:val="40"/>
        </w:rPr>
        <w:lastRenderedPageBreak/>
        <w:t>Processes</w:t>
      </w:r>
    </w:p>
    <w:tbl>
      <w:tblPr>
        <w:tblStyle w:val="TableGrid"/>
        <w:tblW w:w="10080" w:type="dxa"/>
        <w:tblCellMar>
          <w:top w:w="115" w:type="dxa"/>
          <w:left w:w="115" w:type="dxa"/>
          <w:bottom w:w="115" w:type="dxa"/>
          <w:right w:w="115" w:type="dxa"/>
        </w:tblCellMar>
        <w:tblLook w:val="04A0" w:firstRow="1" w:lastRow="0" w:firstColumn="1" w:lastColumn="0" w:noHBand="0" w:noVBand="1"/>
      </w:tblPr>
      <w:tblGrid>
        <w:gridCol w:w="10080"/>
      </w:tblGrid>
      <w:tr w:rsidR="00625208" w:rsidRPr="00625208" w14:paraId="7A655260" w14:textId="77777777" w:rsidTr="00603AA1">
        <w:trPr>
          <w:cantSplit/>
          <w:trHeight w:val="20"/>
        </w:trPr>
        <w:tc>
          <w:tcPr>
            <w:tcW w:w="10080" w:type="dxa"/>
            <w:shd w:val="clear" w:color="auto" w:fill="01579B"/>
          </w:tcPr>
          <w:p w14:paraId="5AC3C868" w14:textId="46EB22C1"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Collection:</w:t>
            </w:r>
            <w:r w:rsidRPr="002B5D48">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 xml:space="preserve">Provide detailed information about the origin and collection of the data, including titles of persons responsible. When </w:t>
            </w:r>
            <w:r w:rsidR="002B5D48">
              <w:rPr>
                <w:rFonts w:asciiTheme="minorHAnsi" w:hAnsiTheme="minorHAnsi" w:cstheme="minorHAnsi"/>
                <w:color w:val="FFFFFF" w:themeColor="background1"/>
                <w:sz w:val="20"/>
              </w:rPr>
              <w:t xml:space="preserve">the SEA uses </w:t>
            </w:r>
            <w:r w:rsidRPr="00625208">
              <w:rPr>
                <w:rFonts w:asciiTheme="minorHAnsi" w:hAnsiTheme="minorHAnsi" w:cstheme="minorHAnsi"/>
                <w:color w:val="FFFFFF" w:themeColor="background1"/>
                <w:sz w:val="20"/>
              </w:rPr>
              <w:t>sampling, describe the state process for developing a sampling methodology that will yield valid and reliable estimates of the target population.</w:t>
            </w:r>
          </w:p>
        </w:tc>
      </w:tr>
      <w:tr w:rsidR="00625208" w:rsidRPr="00625208" w14:paraId="42041EFE" w14:textId="77777777" w:rsidTr="00603AA1">
        <w:trPr>
          <w:cantSplit/>
          <w:trHeight w:val="20"/>
        </w:trPr>
        <w:tc>
          <w:tcPr>
            <w:tcW w:w="10080" w:type="dxa"/>
            <w:tcBorders>
              <w:bottom w:val="single" w:sz="4" w:space="0" w:color="auto"/>
            </w:tcBorders>
            <w:shd w:val="clear" w:color="auto" w:fill="9EBAE2"/>
          </w:tcPr>
          <w:p w14:paraId="4B08E983" w14:textId="57FAD05E" w:rsidR="00625208" w:rsidRPr="00625208" w:rsidRDefault="00625208" w:rsidP="00603AA1">
            <w:pPr>
              <w:spacing w:after="8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Include students who dropped out during</w:t>
            </w:r>
            <w:r w:rsidR="00447061">
              <w:rPr>
                <w:rFonts w:asciiTheme="minorHAnsi" w:hAnsiTheme="minorHAnsi" w:cstheme="minorHAnsi"/>
                <w:color w:val="000000" w:themeColor="text1"/>
                <w:sz w:val="20"/>
              </w:rPr>
              <w:t xml:space="preserve"> the</w:t>
            </w:r>
            <w:r w:rsidRPr="00625208">
              <w:rPr>
                <w:rFonts w:asciiTheme="minorHAnsi" w:hAnsiTheme="minorHAnsi" w:cstheme="minorHAnsi"/>
                <w:color w:val="000000" w:themeColor="text1"/>
                <w:sz w:val="20"/>
              </w:rPr>
              <w:t xml:space="preserve"> previous year or who </w:t>
            </w:r>
            <w:proofErr w:type="gramStart"/>
            <w:r w:rsidRPr="00625208">
              <w:rPr>
                <w:rFonts w:asciiTheme="minorHAnsi" w:hAnsiTheme="minorHAnsi" w:cstheme="minorHAnsi"/>
                <w:color w:val="000000" w:themeColor="text1"/>
                <w:sz w:val="20"/>
              </w:rPr>
              <w:t>were expected</w:t>
            </w:r>
            <w:proofErr w:type="gramEnd"/>
            <w:r w:rsidRPr="00625208">
              <w:rPr>
                <w:rFonts w:asciiTheme="minorHAnsi" w:hAnsiTheme="minorHAnsi" w:cstheme="minorHAnsi"/>
                <w:color w:val="000000" w:themeColor="text1"/>
                <w:sz w:val="20"/>
              </w:rPr>
              <w:t xml:space="preserve"> to return but did not return for the current school year. This includes all youth who had an IEP in effect at the time they left school, including those who graduated with a regular diploma or some other credential, dropped out, or aged out.</w:t>
            </w:r>
          </w:p>
          <w:p w14:paraId="6B87E3E8" w14:textId="565D25A5" w:rsidR="00625208" w:rsidRPr="00625208" w:rsidRDefault="0DA07A39" w:rsidP="00603AA1">
            <w:pPr>
              <w:spacing w:after="80"/>
              <w:rPr>
                <w:rFonts w:asciiTheme="minorHAnsi" w:hAnsiTheme="minorHAnsi" w:cstheme="minorBidi"/>
                <w:color w:val="000000" w:themeColor="text1"/>
                <w:sz w:val="20"/>
              </w:rPr>
            </w:pPr>
            <w:r w:rsidRPr="0DA07A39">
              <w:rPr>
                <w:rFonts w:asciiTheme="minorHAnsi" w:hAnsiTheme="minorHAnsi" w:cstheme="minorBidi"/>
                <w:color w:val="000000" w:themeColor="text1"/>
                <w:sz w:val="20"/>
              </w:rPr>
              <w:t xml:space="preserve">Collect data by September on students who left school during the year two years prior (e.g., </w:t>
            </w:r>
            <w:r w:rsidR="005D50AD">
              <w:rPr>
                <w:rFonts w:asciiTheme="minorHAnsi" w:hAnsiTheme="minorHAnsi" w:cstheme="minorBidi"/>
                <w:color w:val="000000" w:themeColor="text1"/>
                <w:sz w:val="20"/>
              </w:rPr>
              <w:t xml:space="preserve">collect data </w:t>
            </w:r>
            <w:r w:rsidRPr="0DA07A39">
              <w:rPr>
                <w:rFonts w:asciiTheme="minorHAnsi" w:hAnsiTheme="minorHAnsi" w:cstheme="minorBidi"/>
                <w:color w:val="000000" w:themeColor="text1"/>
                <w:sz w:val="20"/>
              </w:rPr>
              <w:t xml:space="preserve">by </w:t>
            </w:r>
            <w:r w:rsidR="00505117" w:rsidRPr="0DA07A39">
              <w:rPr>
                <w:rFonts w:asciiTheme="minorHAnsi" w:hAnsiTheme="minorHAnsi" w:cstheme="minorBidi"/>
                <w:color w:val="000000" w:themeColor="text1"/>
                <w:sz w:val="20"/>
              </w:rPr>
              <w:t>September 2021</w:t>
            </w:r>
            <w:r w:rsidRPr="0DA07A39">
              <w:rPr>
                <w:rFonts w:asciiTheme="minorHAnsi" w:hAnsiTheme="minorHAnsi" w:cstheme="minorBidi"/>
                <w:color w:val="000000" w:themeColor="text1"/>
                <w:sz w:val="20"/>
              </w:rPr>
              <w:t xml:space="preserve"> on students who left school during 2019</w:t>
            </w:r>
            <w:r w:rsidR="002B5D48">
              <w:rPr>
                <w:rFonts w:asciiTheme="minorHAnsi" w:hAnsiTheme="minorHAnsi" w:cstheme="minorBidi"/>
                <w:color w:val="000000" w:themeColor="text1"/>
                <w:sz w:val="20"/>
              </w:rPr>
              <w:t>–</w:t>
            </w:r>
            <w:r w:rsidRPr="0DA07A39">
              <w:rPr>
                <w:rFonts w:asciiTheme="minorHAnsi" w:hAnsiTheme="minorHAnsi" w:cstheme="minorBidi"/>
                <w:color w:val="000000" w:themeColor="text1"/>
                <w:sz w:val="20"/>
              </w:rPr>
              <w:t>2021, timing the data collection so that at least one year has passed since the students left school</w:t>
            </w:r>
            <w:r w:rsidR="005D50AD">
              <w:rPr>
                <w:rFonts w:asciiTheme="minorHAnsi" w:hAnsiTheme="minorHAnsi" w:cstheme="minorBidi"/>
                <w:color w:val="000000" w:themeColor="text1"/>
                <w:sz w:val="20"/>
              </w:rPr>
              <w:t>)</w:t>
            </w:r>
            <w:r w:rsidRPr="0DA07A39">
              <w:rPr>
                <w:rFonts w:asciiTheme="minorHAnsi" w:hAnsiTheme="minorHAnsi" w:cstheme="minorBidi"/>
                <w:color w:val="000000" w:themeColor="text1"/>
                <w:sz w:val="20"/>
              </w:rPr>
              <w:t xml:space="preserve">. Provide the actual numbers for each of the following mutually exclusive categories. </w:t>
            </w:r>
            <w:r w:rsidR="00061C43">
              <w:rPr>
                <w:rFonts w:asciiTheme="minorHAnsi" w:hAnsiTheme="minorHAnsi" w:cstheme="minorBidi"/>
                <w:color w:val="000000" w:themeColor="text1"/>
                <w:sz w:val="20"/>
              </w:rPr>
              <w:t>T</w:t>
            </w:r>
            <w:r w:rsidRPr="0DA07A39">
              <w:rPr>
                <w:rFonts w:asciiTheme="minorHAnsi" w:hAnsiTheme="minorHAnsi" w:cstheme="minorBidi"/>
                <w:color w:val="000000" w:themeColor="text1"/>
                <w:sz w:val="20"/>
              </w:rPr>
              <w:t xml:space="preserve">he actual number of </w:t>
            </w:r>
            <w:r w:rsidR="00061C43">
              <w:rPr>
                <w:rFonts w:asciiTheme="minorHAnsi" w:hAnsiTheme="minorHAnsi" w:cstheme="minorBidi"/>
                <w:color w:val="000000" w:themeColor="text1"/>
                <w:sz w:val="20"/>
              </w:rPr>
              <w:t xml:space="preserve">“leavers” </w:t>
            </w:r>
            <w:r w:rsidR="00C62580">
              <w:rPr>
                <w:rFonts w:asciiTheme="minorHAnsi" w:hAnsiTheme="minorHAnsi" w:cstheme="minorBidi"/>
                <w:color w:val="000000" w:themeColor="text1"/>
                <w:sz w:val="20"/>
              </w:rPr>
              <w:t xml:space="preserve">who </w:t>
            </w:r>
            <w:r w:rsidR="00061C43">
              <w:rPr>
                <w:rFonts w:asciiTheme="minorHAnsi" w:hAnsiTheme="minorHAnsi" w:cstheme="minorBidi"/>
                <w:color w:val="000000" w:themeColor="text1"/>
                <w:sz w:val="20"/>
              </w:rPr>
              <w:t>are</w:t>
            </w:r>
            <w:r w:rsidR="00447061">
              <w:rPr>
                <w:rFonts w:asciiTheme="minorHAnsi" w:hAnsiTheme="minorHAnsi" w:cstheme="minorBidi"/>
                <w:color w:val="000000" w:themeColor="text1"/>
                <w:sz w:val="20"/>
              </w:rPr>
              <w:t>:</w:t>
            </w:r>
          </w:p>
          <w:p w14:paraId="08F70451" w14:textId="77777777" w:rsidR="00625208" w:rsidRPr="00625208" w:rsidRDefault="00625208" w:rsidP="00603AA1">
            <w:pPr>
              <w:spacing w:after="80"/>
              <w:ind w:left="418" w:hanging="41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1.</w:t>
            </w:r>
            <w:r w:rsidRPr="00625208">
              <w:rPr>
                <w:rFonts w:asciiTheme="minorHAnsi" w:hAnsiTheme="minorHAnsi" w:cstheme="minorHAnsi"/>
                <w:color w:val="000000" w:themeColor="text1"/>
                <w:sz w:val="20"/>
              </w:rPr>
              <w:tab/>
              <w:t>Enrolled in higher education within one year of leaving high school;</w:t>
            </w:r>
          </w:p>
          <w:p w14:paraId="27355D65" w14:textId="5D9159EA" w:rsidR="00625208" w:rsidRPr="00625208" w:rsidRDefault="00625208" w:rsidP="00603AA1">
            <w:pPr>
              <w:spacing w:after="80"/>
              <w:ind w:left="418" w:hanging="41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2.</w:t>
            </w:r>
            <w:r w:rsidRPr="00625208">
              <w:rPr>
                <w:rFonts w:asciiTheme="minorHAnsi" w:hAnsiTheme="minorHAnsi" w:cstheme="minorHAnsi"/>
                <w:color w:val="000000" w:themeColor="text1"/>
                <w:sz w:val="20"/>
              </w:rPr>
              <w:tab/>
            </w:r>
            <w:r w:rsidR="00061C43">
              <w:rPr>
                <w:rFonts w:asciiTheme="minorHAnsi" w:hAnsiTheme="minorHAnsi" w:cstheme="minorHAnsi"/>
                <w:color w:val="000000" w:themeColor="text1"/>
                <w:sz w:val="20"/>
              </w:rPr>
              <w:t>C</w:t>
            </w:r>
            <w:r w:rsidRPr="00625208">
              <w:rPr>
                <w:rFonts w:asciiTheme="minorHAnsi" w:hAnsiTheme="minorHAnsi" w:cstheme="minorHAnsi"/>
                <w:color w:val="000000" w:themeColor="text1"/>
                <w:sz w:val="20"/>
              </w:rPr>
              <w:t>ompetitively employed within one year of leaving high school (but not enrolled in higher education);</w:t>
            </w:r>
            <w:r w:rsidRPr="00625208">
              <w:rPr>
                <w:rFonts w:asciiTheme="minorHAnsi" w:hAnsiTheme="minorHAnsi" w:cstheme="minorHAnsi"/>
                <w:color w:val="000000" w:themeColor="text1"/>
                <w:sz w:val="20"/>
                <w:vertAlign w:val="superscript"/>
              </w:rPr>
              <w:footnoteReference w:id="3"/>
            </w:r>
          </w:p>
          <w:p w14:paraId="46C5E23D" w14:textId="480DB802" w:rsidR="00625208" w:rsidRPr="00625208" w:rsidRDefault="00625208" w:rsidP="00603AA1">
            <w:pPr>
              <w:spacing w:after="80"/>
              <w:ind w:left="418" w:hanging="41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3.</w:t>
            </w:r>
            <w:r w:rsidRPr="00625208">
              <w:rPr>
                <w:rFonts w:asciiTheme="minorHAnsi" w:hAnsiTheme="minorHAnsi" w:cstheme="minorHAnsi"/>
                <w:color w:val="000000" w:themeColor="text1"/>
                <w:sz w:val="20"/>
              </w:rPr>
              <w:tab/>
            </w:r>
            <w:r w:rsidR="00061C43">
              <w:rPr>
                <w:rFonts w:asciiTheme="minorHAnsi" w:hAnsiTheme="minorHAnsi" w:cstheme="minorHAnsi"/>
                <w:color w:val="000000" w:themeColor="text1"/>
                <w:sz w:val="20"/>
              </w:rPr>
              <w:t>E</w:t>
            </w:r>
            <w:r w:rsidRPr="00625208">
              <w:rPr>
                <w:rFonts w:asciiTheme="minorHAnsi" w:hAnsiTheme="minorHAnsi" w:cstheme="minorHAnsi"/>
                <w:color w:val="000000" w:themeColor="text1"/>
                <w:sz w:val="20"/>
              </w:rPr>
              <w:t xml:space="preserve">nrolled in some other postsecondary education or training program within one year of leaving high school (but not enrolled in higher education or competitively employed); </w:t>
            </w:r>
          </w:p>
          <w:p w14:paraId="49B66CE7" w14:textId="2EEA736B" w:rsidR="00625208" w:rsidRPr="00625208" w:rsidRDefault="00625208" w:rsidP="00603AA1">
            <w:pPr>
              <w:spacing w:after="80"/>
              <w:ind w:left="418" w:hanging="418"/>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4.</w:t>
            </w:r>
            <w:r w:rsidRPr="00625208">
              <w:rPr>
                <w:rFonts w:asciiTheme="minorHAnsi" w:hAnsiTheme="minorHAnsi" w:cstheme="minorHAnsi"/>
                <w:color w:val="000000" w:themeColor="text1"/>
                <w:sz w:val="20"/>
              </w:rPr>
              <w:tab/>
            </w:r>
            <w:r w:rsidR="00447061">
              <w:rPr>
                <w:rFonts w:asciiTheme="minorHAnsi" w:hAnsiTheme="minorHAnsi" w:cstheme="minorHAnsi"/>
                <w:color w:val="000000" w:themeColor="text1"/>
                <w:sz w:val="20"/>
              </w:rPr>
              <w:t>I</w:t>
            </w:r>
            <w:r w:rsidRPr="00625208">
              <w:rPr>
                <w:rFonts w:asciiTheme="minorHAnsi" w:hAnsiTheme="minorHAnsi" w:cstheme="minorHAnsi"/>
                <w:color w:val="000000" w:themeColor="text1"/>
                <w:sz w:val="20"/>
              </w:rPr>
              <w:t>n some other employment within one year of leaving high school (but not enrolled in higher education</w:t>
            </w:r>
            <w:r w:rsidR="00061C43">
              <w:rPr>
                <w:rFonts w:asciiTheme="minorHAnsi" w:hAnsiTheme="minorHAnsi" w:cstheme="minorHAnsi"/>
                <w:color w:val="000000" w:themeColor="text1"/>
                <w:sz w:val="20"/>
              </w:rPr>
              <w:t>,</w:t>
            </w:r>
            <w:r w:rsidRPr="00625208">
              <w:rPr>
                <w:rFonts w:asciiTheme="minorHAnsi" w:hAnsiTheme="minorHAnsi" w:cstheme="minorHAnsi"/>
                <w:color w:val="000000" w:themeColor="text1"/>
                <w:sz w:val="20"/>
              </w:rPr>
              <w:t xml:space="preserve"> some other postsecondary education or training program</w:t>
            </w:r>
            <w:r w:rsidR="00061C43">
              <w:rPr>
                <w:rFonts w:asciiTheme="minorHAnsi" w:hAnsiTheme="minorHAnsi" w:cstheme="minorHAnsi"/>
                <w:color w:val="000000" w:themeColor="text1"/>
                <w:sz w:val="20"/>
              </w:rPr>
              <w:t>,</w:t>
            </w:r>
            <w:r w:rsidRPr="00625208">
              <w:rPr>
                <w:rFonts w:asciiTheme="minorHAnsi" w:hAnsiTheme="minorHAnsi" w:cstheme="minorHAnsi"/>
                <w:color w:val="000000" w:themeColor="text1"/>
                <w:sz w:val="20"/>
              </w:rPr>
              <w:t xml:space="preserve"> or competitively employed).</w:t>
            </w:r>
          </w:p>
          <w:p w14:paraId="522FE49E" w14:textId="281BB145" w:rsidR="00D177D5" w:rsidRPr="00625208" w:rsidRDefault="00061C43" w:rsidP="00447061">
            <w:pPr>
              <w:rPr>
                <w:rFonts w:asciiTheme="minorHAnsi" w:hAnsiTheme="minorHAnsi" w:cstheme="minorHAnsi"/>
                <w:color w:val="000000" w:themeColor="text1"/>
                <w:sz w:val="20"/>
              </w:rPr>
            </w:pPr>
            <w:r>
              <w:rPr>
                <w:rFonts w:asciiTheme="minorHAnsi" w:hAnsiTheme="minorHAnsi" w:cstheme="minorHAnsi"/>
                <w:color w:val="000000" w:themeColor="text1"/>
                <w:sz w:val="20"/>
              </w:rPr>
              <w:t>“</w:t>
            </w:r>
            <w:r w:rsidR="00625208" w:rsidRPr="00625208">
              <w:rPr>
                <w:rFonts w:asciiTheme="minorHAnsi" w:hAnsiTheme="minorHAnsi" w:cstheme="minorHAnsi"/>
                <w:color w:val="000000" w:themeColor="text1"/>
                <w:sz w:val="20"/>
              </w:rPr>
              <w:t>Leavers</w:t>
            </w:r>
            <w:r>
              <w:rPr>
                <w:rFonts w:asciiTheme="minorHAnsi" w:hAnsiTheme="minorHAnsi" w:cstheme="minorHAnsi"/>
                <w:color w:val="000000" w:themeColor="text1"/>
                <w:sz w:val="20"/>
              </w:rPr>
              <w:t>”</w:t>
            </w:r>
            <w:r w:rsidR="00625208" w:rsidRPr="00625208">
              <w:rPr>
                <w:rFonts w:asciiTheme="minorHAnsi" w:hAnsiTheme="minorHAnsi" w:cstheme="minorHAnsi"/>
                <w:color w:val="000000" w:themeColor="text1"/>
                <w:sz w:val="20"/>
              </w:rPr>
              <w:t xml:space="preserve"> </w:t>
            </w:r>
            <w:proofErr w:type="gramStart"/>
            <w:r w:rsidR="00625208" w:rsidRPr="00625208">
              <w:rPr>
                <w:rFonts w:asciiTheme="minorHAnsi" w:hAnsiTheme="minorHAnsi" w:cstheme="minorHAnsi"/>
                <w:color w:val="000000" w:themeColor="text1"/>
                <w:sz w:val="20"/>
              </w:rPr>
              <w:t>should only be counted</w:t>
            </w:r>
            <w:proofErr w:type="gramEnd"/>
            <w:r w:rsidR="00625208" w:rsidRPr="00625208">
              <w:rPr>
                <w:rFonts w:asciiTheme="minorHAnsi" w:hAnsiTheme="minorHAnsi" w:cstheme="minorHAnsi"/>
                <w:color w:val="000000" w:themeColor="text1"/>
                <w:sz w:val="20"/>
              </w:rPr>
              <w:t xml:space="preserve"> in one of the above categories, and the categories are organized hierarchically. </w:t>
            </w:r>
            <w:r w:rsidR="00C62580">
              <w:rPr>
                <w:rFonts w:asciiTheme="minorHAnsi" w:hAnsiTheme="minorHAnsi" w:cstheme="minorHAnsi"/>
                <w:color w:val="000000" w:themeColor="text1"/>
                <w:sz w:val="20"/>
              </w:rPr>
              <w:t>So, f</w:t>
            </w:r>
            <w:r w:rsidR="00625208" w:rsidRPr="00625208">
              <w:rPr>
                <w:rFonts w:asciiTheme="minorHAnsi" w:hAnsiTheme="minorHAnsi" w:cstheme="minorHAnsi"/>
                <w:color w:val="000000" w:themeColor="text1"/>
                <w:sz w:val="20"/>
              </w:rPr>
              <w:t xml:space="preserve">or example, </w:t>
            </w:r>
            <w:r>
              <w:rPr>
                <w:rFonts w:asciiTheme="minorHAnsi" w:hAnsiTheme="minorHAnsi" w:cstheme="minorHAnsi"/>
                <w:color w:val="000000" w:themeColor="text1"/>
                <w:sz w:val="20"/>
              </w:rPr>
              <w:t>“</w:t>
            </w:r>
            <w:r w:rsidR="00625208" w:rsidRPr="00625208">
              <w:rPr>
                <w:rFonts w:asciiTheme="minorHAnsi" w:hAnsiTheme="minorHAnsi" w:cstheme="minorHAnsi"/>
                <w:color w:val="000000" w:themeColor="text1"/>
                <w:sz w:val="20"/>
              </w:rPr>
              <w:t>leavers</w:t>
            </w:r>
            <w:r>
              <w:rPr>
                <w:rFonts w:asciiTheme="minorHAnsi" w:hAnsiTheme="minorHAnsi" w:cstheme="minorHAnsi"/>
                <w:color w:val="000000" w:themeColor="text1"/>
                <w:sz w:val="20"/>
              </w:rPr>
              <w:t>”</w:t>
            </w:r>
            <w:r w:rsidR="00625208" w:rsidRPr="00625208">
              <w:rPr>
                <w:rFonts w:asciiTheme="minorHAnsi" w:hAnsiTheme="minorHAnsi" w:cstheme="minorHAnsi"/>
                <w:color w:val="000000" w:themeColor="text1"/>
                <w:sz w:val="20"/>
              </w:rPr>
              <w:t xml:space="preserve"> who are enrolled in full- or part-time higher education within one year of leaving high school </w:t>
            </w:r>
            <w:proofErr w:type="gramStart"/>
            <w:r w:rsidR="00625208" w:rsidRPr="00625208">
              <w:rPr>
                <w:rFonts w:asciiTheme="minorHAnsi" w:hAnsiTheme="minorHAnsi" w:cstheme="minorHAnsi"/>
                <w:color w:val="000000" w:themeColor="text1"/>
                <w:sz w:val="20"/>
              </w:rPr>
              <w:t>should only be reported</w:t>
            </w:r>
            <w:proofErr w:type="gramEnd"/>
            <w:r w:rsidR="00625208" w:rsidRPr="00625208">
              <w:rPr>
                <w:rFonts w:asciiTheme="minorHAnsi" w:hAnsiTheme="minorHAnsi" w:cstheme="minorHAnsi"/>
                <w:color w:val="000000" w:themeColor="text1"/>
                <w:sz w:val="20"/>
              </w:rPr>
              <w:t xml:space="preserve"> in category 1, even </w:t>
            </w:r>
            <w:r>
              <w:rPr>
                <w:rFonts w:asciiTheme="minorHAnsi" w:hAnsiTheme="minorHAnsi" w:cstheme="minorHAnsi"/>
                <w:color w:val="000000" w:themeColor="text1"/>
                <w:sz w:val="20"/>
              </w:rPr>
              <w:t>if</w:t>
            </w:r>
            <w:r w:rsidRPr="00625208">
              <w:rPr>
                <w:rFonts w:asciiTheme="minorHAnsi" w:hAnsiTheme="minorHAnsi" w:cstheme="minorHAnsi"/>
                <w:color w:val="000000" w:themeColor="text1"/>
                <w:sz w:val="20"/>
              </w:rPr>
              <w:t xml:space="preserve"> </w:t>
            </w:r>
            <w:r w:rsidR="00625208" w:rsidRPr="00625208">
              <w:rPr>
                <w:rFonts w:asciiTheme="minorHAnsi" w:hAnsiTheme="minorHAnsi" w:cstheme="minorHAnsi"/>
                <w:color w:val="000000" w:themeColor="text1"/>
                <w:sz w:val="20"/>
              </w:rPr>
              <w:t xml:space="preserve">they </w:t>
            </w:r>
            <w:r>
              <w:rPr>
                <w:rFonts w:asciiTheme="minorHAnsi" w:hAnsiTheme="minorHAnsi" w:cstheme="minorHAnsi"/>
                <w:color w:val="000000" w:themeColor="text1"/>
                <w:sz w:val="20"/>
              </w:rPr>
              <w:t xml:space="preserve">also </w:t>
            </w:r>
            <w:r w:rsidR="00625208" w:rsidRPr="00625208">
              <w:rPr>
                <w:rFonts w:asciiTheme="minorHAnsi" w:hAnsiTheme="minorHAnsi" w:cstheme="minorHAnsi"/>
                <w:color w:val="000000" w:themeColor="text1"/>
                <w:sz w:val="20"/>
              </w:rPr>
              <w:t>happen to be employed</w:t>
            </w:r>
            <w:r w:rsidR="00625208" w:rsidRPr="00C61052">
              <w:rPr>
                <w:rFonts w:asciiTheme="minorHAnsi" w:hAnsiTheme="minorHAnsi" w:cstheme="minorHAnsi"/>
                <w:color w:val="000000" w:themeColor="text1"/>
                <w:sz w:val="20"/>
              </w:rPr>
              <w:t>.</w:t>
            </w:r>
            <w:r w:rsidR="00C61052" w:rsidRPr="00C61052">
              <w:rPr>
                <w:rFonts w:asciiTheme="minorHAnsi" w:hAnsiTheme="minorHAnsi" w:cstheme="minorHAnsi"/>
                <w:sz w:val="20"/>
              </w:rPr>
              <w:t xml:space="preserve"> Likewise</w:t>
            </w:r>
            <w:r w:rsidR="00C61052">
              <w:rPr>
                <w:rFonts w:asciiTheme="minorHAnsi" w:hAnsiTheme="minorHAnsi" w:cstheme="minorHAnsi"/>
                <w:sz w:val="20"/>
              </w:rPr>
              <w:t>, “leavers”</w:t>
            </w:r>
            <w:r w:rsidR="00C61052" w:rsidRPr="00C61052">
              <w:rPr>
                <w:rFonts w:asciiTheme="minorHAnsi" w:hAnsiTheme="minorHAnsi" w:cstheme="minorHAnsi"/>
                <w:sz w:val="20"/>
              </w:rPr>
              <w:t xml:space="preserve"> who are not enrolled in either part-</w:t>
            </w:r>
            <w:r w:rsidR="00C61052">
              <w:rPr>
                <w:rFonts w:asciiTheme="minorHAnsi" w:hAnsiTheme="minorHAnsi" w:cstheme="minorHAnsi"/>
                <w:sz w:val="20"/>
              </w:rPr>
              <w:t xml:space="preserve"> </w:t>
            </w:r>
            <w:r w:rsidR="00C61052" w:rsidRPr="00C61052">
              <w:rPr>
                <w:rFonts w:asciiTheme="minorHAnsi" w:hAnsiTheme="minorHAnsi" w:cstheme="minorHAnsi"/>
                <w:sz w:val="20"/>
              </w:rPr>
              <w:t xml:space="preserve">or full-time higher education, but who are competitively employed, should only </w:t>
            </w:r>
            <w:proofErr w:type="gramStart"/>
            <w:r w:rsidR="00C61052" w:rsidRPr="00C61052">
              <w:rPr>
                <w:rFonts w:asciiTheme="minorHAnsi" w:hAnsiTheme="minorHAnsi" w:cstheme="minorHAnsi"/>
                <w:sz w:val="20"/>
              </w:rPr>
              <w:t>be reported</w:t>
            </w:r>
            <w:proofErr w:type="gramEnd"/>
            <w:r w:rsidR="00C61052" w:rsidRPr="00C61052">
              <w:rPr>
                <w:rFonts w:asciiTheme="minorHAnsi" w:hAnsiTheme="minorHAnsi" w:cstheme="minorHAnsi"/>
                <w:sz w:val="20"/>
              </w:rPr>
              <w:t xml:space="preserve"> under category 2, even if they happen to be enrolled in some other postsecondary education or training program.</w:t>
            </w:r>
          </w:p>
        </w:tc>
      </w:tr>
      <w:tr w:rsidR="00625208" w:rsidRPr="00625208" w14:paraId="44EAFD9C" w14:textId="77777777" w:rsidTr="00603AA1">
        <w:trPr>
          <w:cantSplit/>
          <w:trHeight w:val="20"/>
        </w:trPr>
        <w:tc>
          <w:tcPr>
            <w:tcW w:w="10080" w:type="dxa"/>
            <w:tcBorders>
              <w:bottom w:val="single" w:sz="4" w:space="0" w:color="auto"/>
            </w:tcBorders>
          </w:tcPr>
          <w:p w14:paraId="4B94D5A5"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0A953AD1" w14:textId="77777777" w:rsidTr="00603AA1">
        <w:trPr>
          <w:cantSplit/>
          <w:trHeight w:val="20"/>
        </w:trPr>
        <w:tc>
          <w:tcPr>
            <w:tcW w:w="10080" w:type="dxa"/>
            <w:shd w:val="clear" w:color="auto" w:fill="01579B"/>
          </w:tcPr>
          <w:p w14:paraId="16F9F550" w14:textId="674EBF10"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Data Validation:</w:t>
            </w:r>
            <w:r w:rsidRPr="00625208">
              <w:rPr>
                <w:rFonts w:asciiTheme="minorHAnsi" w:hAnsiTheme="minorHAnsi" w:cstheme="minorHAnsi"/>
                <w:color w:val="FFFFFF" w:themeColor="background1"/>
                <w:sz w:val="20"/>
              </w:rPr>
              <w:t xml:space="preserve"> Describe the data cleaning processes and any other processes </w:t>
            </w:r>
            <w:r w:rsidR="002B5D48">
              <w:rPr>
                <w:rFonts w:asciiTheme="minorHAnsi" w:hAnsiTheme="minorHAnsi" w:cstheme="minorHAnsi"/>
                <w:color w:val="FFFFFF" w:themeColor="background1"/>
                <w:sz w:val="20"/>
              </w:rPr>
              <w:t xml:space="preserve">the SEA </w:t>
            </w:r>
            <w:r w:rsidRPr="00625208">
              <w:rPr>
                <w:rFonts w:asciiTheme="minorHAnsi" w:hAnsiTheme="minorHAnsi" w:cstheme="minorHAnsi"/>
                <w:color w:val="FFFFFF" w:themeColor="background1"/>
                <w:sz w:val="20"/>
              </w:rPr>
              <w:t>use</w:t>
            </w:r>
            <w:r w:rsidR="002B5D48">
              <w:rPr>
                <w:rFonts w:asciiTheme="minorHAnsi" w:hAnsiTheme="minorHAnsi" w:cstheme="minorHAnsi"/>
                <w:color w:val="FFFFFF" w:themeColor="background1"/>
                <w:sz w:val="20"/>
              </w:rPr>
              <w:t>s</w:t>
            </w:r>
            <w:r w:rsidRPr="00625208">
              <w:rPr>
                <w:rFonts w:asciiTheme="minorHAnsi" w:hAnsiTheme="minorHAnsi" w:cstheme="minorHAnsi"/>
                <w:color w:val="FFFFFF" w:themeColor="background1"/>
                <w:sz w:val="20"/>
              </w:rPr>
              <w:t xml:space="preserve"> to ensure high-quality data. </w:t>
            </w:r>
          </w:p>
        </w:tc>
      </w:tr>
      <w:tr w:rsidR="00625208" w:rsidRPr="00625208" w14:paraId="3DEEC669" w14:textId="77777777" w:rsidTr="00603AA1">
        <w:trPr>
          <w:cantSplit/>
          <w:trHeight w:val="20"/>
        </w:trPr>
        <w:tc>
          <w:tcPr>
            <w:tcW w:w="10080" w:type="dxa"/>
            <w:tcBorders>
              <w:bottom w:val="single" w:sz="4" w:space="0" w:color="auto"/>
            </w:tcBorders>
          </w:tcPr>
          <w:p w14:paraId="3656B9AB"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3B4DA821" w14:textId="77777777" w:rsidTr="00603AA1">
        <w:trPr>
          <w:cantSplit/>
          <w:trHeight w:val="20"/>
        </w:trPr>
        <w:tc>
          <w:tcPr>
            <w:tcW w:w="10080" w:type="dxa"/>
            <w:shd w:val="clear" w:color="auto" w:fill="01579B"/>
          </w:tcPr>
          <w:p w14:paraId="6E857FD1" w14:textId="77777777"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lastRenderedPageBreak/>
              <w:t>Data Analysis:</w:t>
            </w:r>
            <w:r w:rsidRPr="00061C43">
              <w:rPr>
                <w:rFonts w:asciiTheme="minorHAnsi" w:hAnsiTheme="minorHAnsi" w:cstheme="minorHAnsi"/>
                <w:color w:val="FFFFFF" w:themeColor="background1"/>
                <w:sz w:val="20"/>
                <w:vertAlign w:val="superscript"/>
              </w:rPr>
              <w:footnoteReference w:id="4"/>
            </w:r>
            <w:r w:rsidRPr="00061C43">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 xml:space="preserve">Describe the process for data analysis. </w:t>
            </w:r>
          </w:p>
        </w:tc>
      </w:tr>
      <w:tr w:rsidR="00625208" w:rsidRPr="00625208" w14:paraId="5568958F" w14:textId="77777777" w:rsidTr="00603AA1">
        <w:trPr>
          <w:cantSplit/>
          <w:trHeight w:val="20"/>
        </w:trPr>
        <w:tc>
          <w:tcPr>
            <w:tcW w:w="10080" w:type="dxa"/>
            <w:shd w:val="clear" w:color="auto" w:fill="9EBAE2"/>
          </w:tcPr>
          <w:p w14:paraId="066F8CFE" w14:textId="44E7B561" w:rsidR="00625208" w:rsidRDefault="00625208" w:rsidP="00603AA1">
            <w:pPr>
              <w:keepNext/>
              <w:spacing w:after="8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Include the</w:t>
            </w:r>
            <w:r w:rsidR="0019617E">
              <w:rPr>
                <w:rFonts w:asciiTheme="minorHAnsi" w:hAnsiTheme="minorHAnsi" w:cstheme="minorHAnsi"/>
                <w:color w:val="000000" w:themeColor="text1"/>
                <w:sz w:val="20"/>
              </w:rPr>
              <w:t xml:space="preserve"> </w:t>
            </w:r>
            <w:r w:rsidRPr="00625208">
              <w:rPr>
                <w:rFonts w:asciiTheme="minorHAnsi" w:hAnsiTheme="minorHAnsi" w:cstheme="minorHAnsi"/>
                <w:color w:val="000000" w:themeColor="text1"/>
                <w:sz w:val="20"/>
              </w:rPr>
              <w:t>S</w:t>
            </w:r>
            <w:r w:rsidR="003C256F">
              <w:rPr>
                <w:rFonts w:asciiTheme="minorHAnsi" w:hAnsiTheme="minorHAnsi" w:cstheme="minorHAnsi"/>
                <w:color w:val="000000" w:themeColor="text1"/>
                <w:sz w:val="20"/>
              </w:rPr>
              <w:t>EA</w:t>
            </w:r>
            <w:r w:rsidRPr="00625208">
              <w:rPr>
                <w:rFonts w:asciiTheme="minorHAnsi" w:hAnsiTheme="minorHAnsi" w:cstheme="minorHAnsi"/>
                <w:color w:val="000000" w:themeColor="text1"/>
                <w:sz w:val="20"/>
              </w:rPr>
              <w:t xml:space="preserve">’s analysis of the extent to which the response data are representative of the demographics of youth who are no longer in secondary school and had IEPs in effect at the time they left school. </w:t>
            </w:r>
          </w:p>
          <w:p w14:paraId="40CB2FC2" w14:textId="22D97D09" w:rsidR="000841DB" w:rsidRPr="00625208" w:rsidRDefault="0037565E" w:rsidP="00603AA1">
            <w:pPr>
              <w:keepNext/>
              <w:spacing w:after="80"/>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States </w:t>
            </w:r>
            <w:r w:rsidR="000841DB">
              <w:rPr>
                <w:rFonts w:asciiTheme="minorHAnsi" w:hAnsiTheme="minorHAnsi" w:cstheme="minorHAnsi"/>
                <w:color w:val="000000" w:themeColor="text1"/>
                <w:sz w:val="20"/>
              </w:rPr>
              <w:t xml:space="preserve">must </w:t>
            </w:r>
            <w:r>
              <w:rPr>
                <w:rFonts w:asciiTheme="minorHAnsi" w:hAnsiTheme="minorHAnsi" w:cstheme="minorHAnsi"/>
                <w:color w:val="000000" w:themeColor="text1"/>
                <w:sz w:val="20"/>
              </w:rPr>
              <w:t xml:space="preserve">describe </w:t>
            </w:r>
            <w:r w:rsidR="000841DB">
              <w:rPr>
                <w:rFonts w:asciiTheme="minorHAnsi" w:hAnsiTheme="minorHAnsi" w:cstheme="minorHAnsi"/>
                <w:color w:val="000000" w:themeColor="text1"/>
                <w:sz w:val="20"/>
              </w:rPr>
              <w:t>the metric used to determine representativeness. States must compare the response rate for the reporting year t</w:t>
            </w:r>
            <w:r w:rsidR="00793FCD">
              <w:rPr>
                <w:rFonts w:asciiTheme="minorHAnsi" w:hAnsiTheme="minorHAnsi" w:cstheme="minorHAnsi"/>
                <w:color w:val="000000" w:themeColor="text1"/>
                <w:sz w:val="20"/>
              </w:rPr>
              <w:t>o</w:t>
            </w:r>
            <w:r w:rsidR="000841DB">
              <w:rPr>
                <w:rFonts w:asciiTheme="minorHAnsi" w:hAnsiTheme="minorHAnsi" w:cstheme="minorHAnsi"/>
                <w:color w:val="000000" w:themeColor="text1"/>
                <w:sz w:val="20"/>
              </w:rPr>
              <w:t xml:space="preserve"> the response rate for the previous year.</w:t>
            </w:r>
          </w:p>
          <w:p w14:paraId="0A779D17" w14:textId="77777777" w:rsidR="00625208" w:rsidRDefault="00625208" w:rsidP="00603AA1">
            <w:pPr>
              <w:keepNext/>
              <w:spacing w:after="80"/>
              <w:rPr>
                <w:rFonts w:asciiTheme="minorHAnsi" w:hAnsiTheme="minorHAnsi" w:cstheme="minorHAnsi"/>
                <w:color w:val="000000" w:themeColor="text1"/>
                <w:sz w:val="20"/>
              </w:rPr>
            </w:pPr>
            <w:r w:rsidRPr="00625208">
              <w:rPr>
                <w:rFonts w:asciiTheme="minorHAnsi" w:hAnsiTheme="minorHAnsi" w:cstheme="minorHAnsi"/>
                <w:color w:val="000000" w:themeColor="text1"/>
                <w:sz w:val="20"/>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19AF15F2" w14:textId="5617BD0A" w:rsidR="00D177D5" w:rsidRPr="00625208" w:rsidRDefault="00D177D5" w:rsidP="00603AA1">
            <w:pPr>
              <w:keepNext/>
              <w:rPr>
                <w:rFonts w:asciiTheme="minorHAnsi" w:hAnsiTheme="minorHAnsi" w:cstheme="minorHAnsi"/>
                <w:color w:val="000000" w:themeColor="text1"/>
                <w:sz w:val="20"/>
              </w:rPr>
            </w:pPr>
            <w:r w:rsidRPr="0037565E">
              <w:rPr>
                <w:rFonts w:asciiTheme="minorHAnsi" w:hAnsiTheme="minorHAnsi" w:cstheme="minorHAnsi"/>
                <w:color w:val="000000" w:themeColor="text1"/>
                <w:sz w:val="20"/>
              </w:rPr>
              <w:t>Beginning with the FFY 2021 SPP/APR, due Feb.1, 2023,</w:t>
            </w:r>
            <w:r w:rsidRPr="00907E93">
              <w:rPr>
                <w:rFonts w:asciiTheme="minorHAnsi" w:hAnsiTheme="minorHAnsi" w:cstheme="minorHAnsi"/>
                <w:color w:val="000000" w:themeColor="text1"/>
                <w:sz w:val="20"/>
              </w:rPr>
              <w:t xml:space="preserve"> when </w:t>
            </w:r>
            <w:r w:rsidRPr="00D177D5">
              <w:rPr>
                <w:rFonts w:asciiTheme="minorHAnsi" w:hAnsiTheme="minorHAnsi" w:cstheme="minorHAnsi"/>
                <w:color w:val="000000" w:themeColor="text1"/>
                <w:sz w:val="20"/>
              </w:rPr>
              <w:t>reporting the extent to which th</w:t>
            </w:r>
            <w:r>
              <w:rPr>
                <w:rFonts w:asciiTheme="minorHAnsi" w:hAnsiTheme="minorHAnsi" w:cstheme="minorHAnsi"/>
                <w:color w:val="000000" w:themeColor="text1"/>
                <w:sz w:val="20"/>
              </w:rPr>
              <w:t xml:space="preserve">e </w:t>
            </w:r>
            <w:r w:rsidRPr="00D177D5">
              <w:rPr>
                <w:rFonts w:asciiTheme="minorHAnsi" w:hAnsiTheme="minorHAnsi" w:cstheme="minorHAnsi"/>
                <w:color w:val="000000" w:themeColor="text1"/>
                <w:sz w:val="20"/>
              </w:rPr>
              <w:t>demographics of</w:t>
            </w:r>
            <w:r>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respondents are representative of</w:t>
            </w:r>
            <w:r>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the demographics of youth who are no longer in</w:t>
            </w:r>
            <w:r w:rsidR="0073525D">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secondary school and had IEPs in effect at the time</w:t>
            </w:r>
            <w:r>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they left school, State</w:t>
            </w:r>
            <w:r w:rsidR="0037565E">
              <w:rPr>
                <w:rFonts w:asciiTheme="minorHAnsi" w:hAnsiTheme="minorHAnsi" w:cstheme="minorHAnsi"/>
                <w:color w:val="000000" w:themeColor="text1"/>
                <w:sz w:val="20"/>
              </w:rPr>
              <w:t>(s)</w:t>
            </w:r>
            <w:r w:rsidRPr="00D177D5">
              <w:rPr>
                <w:rFonts w:asciiTheme="minorHAnsi" w:hAnsiTheme="minorHAnsi" w:cstheme="minorHAnsi"/>
                <w:color w:val="000000" w:themeColor="text1"/>
                <w:sz w:val="20"/>
              </w:rPr>
              <w:t xml:space="preserve"> must include race and</w:t>
            </w:r>
            <w:r>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ethnicity in its analysis. In addition, the State’s</w:t>
            </w:r>
            <w:r w:rsidRPr="00D177D5">
              <w:rPr>
                <w:rFonts w:asciiTheme="minorHAnsi" w:hAnsiTheme="minorHAnsi" w:cstheme="minorHAnsi"/>
                <w:color w:val="000000" w:themeColor="text1"/>
                <w:sz w:val="20"/>
              </w:rPr>
              <w:cr/>
            </w:r>
            <w:proofErr w:type="gramStart"/>
            <w:r w:rsidRPr="00D177D5">
              <w:rPr>
                <w:rFonts w:asciiTheme="minorHAnsi" w:hAnsiTheme="minorHAnsi" w:cstheme="minorHAnsi"/>
                <w:color w:val="000000" w:themeColor="text1"/>
                <w:sz w:val="20"/>
              </w:rPr>
              <w:t>analysis</w:t>
            </w:r>
            <w:proofErr w:type="gramEnd"/>
            <w:r w:rsidRPr="00D177D5">
              <w:rPr>
                <w:rFonts w:asciiTheme="minorHAnsi" w:hAnsiTheme="minorHAnsi" w:cstheme="minorHAnsi"/>
                <w:color w:val="000000" w:themeColor="text1"/>
                <w:sz w:val="20"/>
              </w:rPr>
              <w:t xml:space="preserve"> must include at least one of the following</w:t>
            </w:r>
            <w:r>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 xml:space="preserve">demographics: disability category, </w:t>
            </w:r>
            <w:r w:rsidR="0019617E" w:rsidRPr="00D177D5">
              <w:rPr>
                <w:rFonts w:asciiTheme="minorHAnsi" w:hAnsiTheme="minorHAnsi" w:cstheme="minorHAnsi"/>
                <w:color w:val="000000" w:themeColor="text1"/>
                <w:sz w:val="20"/>
              </w:rPr>
              <w:t>gender, geographic</w:t>
            </w:r>
            <w:r w:rsidRPr="00D177D5">
              <w:rPr>
                <w:rFonts w:asciiTheme="minorHAnsi" w:hAnsiTheme="minorHAnsi" w:cstheme="minorHAnsi"/>
                <w:color w:val="000000" w:themeColor="text1"/>
                <w:sz w:val="20"/>
              </w:rPr>
              <w:t xml:space="preserve"> location, and/or another demographic</w:t>
            </w:r>
            <w:r>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category approved through the stakeholder input</w:t>
            </w:r>
            <w:r>
              <w:rPr>
                <w:rFonts w:asciiTheme="minorHAnsi" w:hAnsiTheme="minorHAnsi" w:cstheme="minorHAnsi"/>
                <w:color w:val="000000" w:themeColor="text1"/>
                <w:sz w:val="20"/>
              </w:rPr>
              <w:t xml:space="preserve"> </w:t>
            </w:r>
            <w:r w:rsidRPr="00D177D5">
              <w:rPr>
                <w:rFonts w:asciiTheme="minorHAnsi" w:hAnsiTheme="minorHAnsi" w:cstheme="minorHAnsi"/>
                <w:color w:val="000000" w:themeColor="text1"/>
                <w:sz w:val="20"/>
              </w:rPr>
              <w:t>process.</w:t>
            </w:r>
          </w:p>
        </w:tc>
      </w:tr>
      <w:tr w:rsidR="00625208" w:rsidRPr="00625208" w14:paraId="45FB0818" w14:textId="77777777" w:rsidTr="00603AA1">
        <w:trPr>
          <w:cantSplit/>
          <w:trHeight w:val="20"/>
        </w:trPr>
        <w:tc>
          <w:tcPr>
            <w:tcW w:w="10080" w:type="dxa"/>
            <w:shd w:val="clear" w:color="auto" w:fill="auto"/>
          </w:tcPr>
          <w:p w14:paraId="049F31CB"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223B2AC7" w14:textId="77777777" w:rsidTr="00603AA1">
        <w:trPr>
          <w:cantSplit/>
          <w:trHeight w:val="20"/>
        </w:trPr>
        <w:tc>
          <w:tcPr>
            <w:tcW w:w="10080" w:type="dxa"/>
            <w:shd w:val="clear" w:color="auto" w:fill="01579B"/>
          </w:tcPr>
          <w:p w14:paraId="128B1E72" w14:textId="37316D31"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Response to OSEP-Required Actions:</w:t>
            </w:r>
            <w:r w:rsidRPr="00625208">
              <w:rPr>
                <w:rFonts w:asciiTheme="minorHAnsi" w:hAnsiTheme="minorHAnsi" w:cstheme="minorHAnsi"/>
                <w:color w:val="FFFFFF" w:themeColor="background1"/>
                <w:sz w:val="20"/>
              </w:rPr>
              <w:t xml:space="preserve"> Describe the procedures for reviewing Office of Special Education Programs (OSEP) feedback. Following the release of the OSEP determination, indicate who reviews OSEP feedback and how the</w:t>
            </w:r>
            <w:r w:rsidR="0073525D">
              <w:rPr>
                <w:rFonts w:asciiTheme="minorHAnsi" w:hAnsiTheme="minorHAnsi" w:cstheme="minorHAnsi"/>
                <w:color w:val="FFFFFF" w:themeColor="background1"/>
                <w:sz w:val="20"/>
              </w:rPr>
              <w:t xml:space="preserve"> SEA makes the</w:t>
            </w:r>
            <w:r w:rsidRPr="00625208">
              <w:rPr>
                <w:rFonts w:asciiTheme="minorHAnsi" w:hAnsiTheme="minorHAnsi" w:cstheme="minorHAnsi"/>
                <w:color w:val="FFFFFF" w:themeColor="background1"/>
                <w:sz w:val="20"/>
              </w:rPr>
              <w:t xml:space="preserve"> plan to address concerns and create a response.</w:t>
            </w:r>
          </w:p>
        </w:tc>
      </w:tr>
      <w:tr w:rsidR="00625208" w:rsidRPr="00625208" w14:paraId="53128261" w14:textId="77777777" w:rsidTr="00603AA1">
        <w:trPr>
          <w:cantSplit/>
          <w:trHeight w:val="20"/>
        </w:trPr>
        <w:tc>
          <w:tcPr>
            <w:tcW w:w="10080" w:type="dxa"/>
            <w:shd w:val="clear" w:color="auto" w:fill="auto"/>
          </w:tcPr>
          <w:p w14:paraId="62486C05"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20DB86D6" w14:textId="77777777" w:rsidTr="00603AA1">
        <w:trPr>
          <w:cantSplit/>
          <w:trHeight w:val="20"/>
        </w:trPr>
        <w:tc>
          <w:tcPr>
            <w:tcW w:w="10080" w:type="dxa"/>
            <w:shd w:val="clear" w:color="auto" w:fill="01579B"/>
          </w:tcPr>
          <w:p w14:paraId="7ACC0760" w14:textId="77777777"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Internal Approval Process:</w:t>
            </w:r>
            <w:r w:rsidRPr="0073525D">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Describe any internal approval processes (e.g., who must sign off, timelines).</w:t>
            </w:r>
            <w:r w:rsidRPr="00625208">
              <w:rPr>
                <w:rFonts w:asciiTheme="minorHAnsi" w:hAnsiTheme="minorHAnsi" w:cstheme="minorHAnsi"/>
                <w:i/>
                <w:color w:val="FFFFFF" w:themeColor="background1"/>
                <w:sz w:val="20"/>
              </w:rPr>
              <w:t xml:space="preserve"> </w:t>
            </w:r>
          </w:p>
        </w:tc>
      </w:tr>
      <w:tr w:rsidR="00625208" w:rsidRPr="000841DB" w14:paraId="4101652C" w14:textId="77777777" w:rsidTr="00603AA1">
        <w:trPr>
          <w:cantSplit/>
          <w:trHeight w:val="20"/>
        </w:trPr>
        <w:tc>
          <w:tcPr>
            <w:tcW w:w="10080" w:type="dxa"/>
            <w:tcBorders>
              <w:bottom w:val="single" w:sz="4" w:space="0" w:color="auto"/>
            </w:tcBorders>
          </w:tcPr>
          <w:p w14:paraId="4B99056E" w14:textId="77777777" w:rsidR="00625208" w:rsidRPr="0073525D" w:rsidRDefault="00625208" w:rsidP="00603AA1">
            <w:pPr>
              <w:autoSpaceDE w:val="0"/>
              <w:autoSpaceDN w:val="0"/>
              <w:adjustRightInd w:val="0"/>
              <w:rPr>
                <w:rFonts w:asciiTheme="minorHAnsi" w:hAnsiTheme="minorHAnsi" w:cstheme="minorBidi"/>
                <w:color w:val="FFFFFF" w:themeColor="background1"/>
                <w:sz w:val="20"/>
              </w:rPr>
            </w:pPr>
          </w:p>
        </w:tc>
      </w:tr>
      <w:tr w:rsidR="00625208" w:rsidRPr="000841DB" w14:paraId="78D4200D" w14:textId="77777777" w:rsidTr="00603AA1">
        <w:trPr>
          <w:cantSplit/>
          <w:trHeight w:val="20"/>
        </w:trPr>
        <w:tc>
          <w:tcPr>
            <w:tcW w:w="10080" w:type="dxa"/>
            <w:shd w:val="clear" w:color="auto" w:fill="01579B"/>
          </w:tcPr>
          <w:p w14:paraId="1A57FC30" w14:textId="0A444A49" w:rsidR="00625208" w:rsidRPr="0073525D" w:rsidRDefault="0DA07A39" w:rsidP="00603AA1">
            <w:pPr>
              <w:keepNext/>
              <w:rPr>
                <w:rFonts w:asciiTheme="minorHAnsi" w:hAnsiTheme="minorHAnsi" w:cstheme="minorBidi"/>
                <w:color w:val="FFFFFF" w:themeColor="background1"/>
                <w:sz w:val="20"/>
              </w:rPr>
            </w:pPr>
            <w:r w:rsidRPr="00447061">
              <w:rPr>
                <w:rFonts w:asciiTheme="minorHAnsi" w:hAnsiTheme="minorHAnsi" w:cstheme="minorHAnsi"/>
                <w:b/>
                <w:color w:val="FFFFFF" w:themeColor="background1"/>
                <w:sz w:val="20"/>
              </w:rPr>
              <w:t>Submission:</w:t>
            </w:r>
            <w:r w:rsidRPr="00541C6A">
              <w:rPr>
                <w:rFonts w:asciiTheme="minorHAnsi" w:hAnsiTheme="minorHAnsi" w:cstheme="minorBidi"/>
                <w:color w:val="FFFFFF" w:themeColor="background1"/>
                <w:sz w:val="20"/>
              </w:rPr>
              <w:t xml:space="preserve"> </w:t>
            </w:r>
            <w:r w:rsidRPr="0DA07A39">
              <w:rPr>
                <w:rFonts w:asciiTheme="minorHAnsi" w:hAnsiTheme="minorHAnsi" w:cstheme="minorBidi"/>
                <w:color w:val="FFFFFF" w:themeColor="background1"/>
                <w:sz w:val="20"/>
              </w:rPr>
              <w:t xml:space="preserve">Describe process for entering the data and analyses into </w:t>
            </w:r>
            <w:r w:rsidR="00793FCD">
              <w:rPr>
                <w:rFonts w:asciiTheme="minorHAnsi" w:hAnsiTheme="minorHAnsi" w:cstheme="minorBidi"/>
                <w:color w:val="FFFFFF" w:themeColor="background1"/>
                <w:sz w:val="20"/>
              </w:rPr>
              <w:t xml:space="preserve">the </w:t>
            </w:r>
            <w:r w:rsidR="000841DB" w:rsidRPr="0073525D">
              <w:rPr>
                <w:rFonts w:asciiTheme="minorHAnsi" w:hAnsiTheme="minorHAnsi" w:cstheme="minorBidi"/>
                <w:color w:val="FFFFFF" w:themeColor="background1"/>
                <w:sz w:val="20"/>
              </w:rPr>
              <w:t xml:space="preserve">online SPP/APR submission tool. </w:t>
            </w:r>
          </w:p>
        </w:tc>
      </w:tr>
      <w:tr w:rsidR="00625208" w:rsidRPr="00625208" w14:paraId="1299C43A" w14:textId="77777777" w:rsidTr="00603AA1">
        <w:trPr>
          <w:cantSplit/>
          <w:trHeight w:val="20"/>
        </w:trPr>
        <w:tc>
          <w:tcPr>
            <w:tcW w:w="10080" w:type="dxa"/>
            <w:shd w:val="clear" w:color="auto" w:fill="auto"/>
          </w:tcPr>
          <w:p w14:paraId="4DDBEF00"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5E1B2A26" w14:textId="77777777" w:rsidTr="00603AA1">
        <w:trPr>
          <w:cantSplit/>
          <w:trHeight w:val="20"/>
        </w:trPr>
        <w:tc>
          <w:tcPr>
            <w:tcW w:w="10080" w:type="dxa"/>
            <w:shd w:val="clear" w:color="auto" w:fill="01579B"/>
          </w:tcPr>
          <w:p w14:paraId="495FD68A" w14:textId="1C2B5E46"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Clarification:</w:t>
            </w:r>
            <w:r w:rsidRPr="00625208">
              <w:rPr>
                <w:rFonts w:asciiTheme="minorHAnsi" w:hAnsiTheme="minorHAnsi" w:cstheme="minorHAnsi"/>
                <w:b/>
                <w:color w:val="FFFFFF" w:themeColor="background1"/>
                <w:sz w:val="20"/>
                <w:vertAlign w:val="superscript"/>
              </w:rPr>
              <w:footnoteReference w:id="5"/>
            </w:r>
            <w:r w:rsidRPr="00D216BC">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 xml:space="preserve">Describe the process </w:t>
            </w:r>
            <w:r w:rsidR="000D372F">
              <w:rPr>
                <w:rFonts w:asciiTheme="minorHAnsi" w:hAnsiTheme="minorHAnsi" w:cstheme="minorHAnsi"/>
                <w:color w:val="FFFFFF" w:themeColor="background1"/>
                <w:sz w:val="20"/>
              </w:rPr>
              <w:t>the SEA</w:t>
            </w:r>
            <w:r w:rsidRPr="00625208">
              <w:rPr>
                <w:rFonts w:asciiTheme="minorHAnsi" w:hAnsiTheme="minorHAnsi" w:cstheme="minorHAnsi"/>
                <w:color w:val="FFFFFF" w:themeColor="background1"/>
                <w:sz w:val="20"/>
              </w:rPr>
              <w:t xml:space="preserve"> uses to prepare a response to OSEP’s request for clarification.</w:t>
            </w:r>
          </w:p>
        </w:tc>
      </w:tr>
      <w:tr w:rsidR="00625208" w:rsidRPr="00625208" w14:paraId="3461D779" w14:textId="77777777" w:rsidTr="00603AA1">
        <w:trPr>
          <w:cantSplit/>
          <w:trHeight w:val="20"/>
        </w:trPr>
        <w:tc>
          <w:tcPr>
            <w:tcW w:w="10080" w:type="dxa"/>
            <w:shd w:val="clear" w:color="auto" w:fill="auto"/>
          </w:tcPr>
          <w:p w14:paraId="3CF2D8B6"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3BF1CDF4" w14:textId="77777777" w:rsidTr="00603AA1">
        <w:trPr>
          <w:cantSplit/>
          <w:trHeight w:val="20"/>
        </w:trPr>
        <w:tc>
          <w:tcPr>
            <w:tcW w:w="10080" w:type="dxa"/>
            <w:shd w:val="clear" w:color="auto" w:fill="01579B"/>
          </w:tcPr>
          <w:p w14:paraId="16939F44" w14:textId="77777777"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t>Data Governance:</w:t>
            </w:r>
            <w:r w:rsidRPr="000D372F">
              <w:rPr>
                <w:rFonts w:asciiTheme="minorHAnsi" w:hAnsiTheme="minorHAnsi" w:cstheme="minorHAnsi"/>
                <w:color w:val="FFFFFF" w:themeColor="background1"/>
                <w:sz w:val="20"/>
              </w:rPr>
              <w:t xml:space="preserve"> </w:t>
            </w:r>
            <w:r w:rsidRPr="00625208">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625208" w:rsidRPr="00625208" w14:paraId="0FB78278" w14:textId="77777777" w:rsidTr="00603AA1">
        <w:trPr>
          <w:cantSplit/>
          <w:trHeight w:val="20"/>
        </w:trPr>
        <w:tc>
          <w:tcPr>
            <w:tcW w:w="10080" w:type="dxa"/>
            <w:shd w:val="clear" w:color="auto" w:fill="auto"/>
          </w:tcPr>
          <w:p w14:paraId="1FC39945"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r w:rsidR="00625208" w:rsidRPr="00625208" w14:paraId="6B6581D4" w14:textId="77777777" w:rsidTr="00603AA1">
        <w:trPr>
          <w:cantSplit/>
          <w:trHeight w:val="20"/>
        </w:trPr>
        <w:tc>
          <w:tcPr>
            <w:tcW w:w="10080" w:type="dxa"/>
            <w:shd w:val="clear" w:color="auto" w:fill="01579B"/>
          </w:tcPr>
          <w:p w14:paraId="2364A8C2" w14:textId="188ECFC7" w:rsidR="00625208" w:rsidRPr="00625208" w:rsidRDefault="00625208" w:rsidP="00603AA1">
            <w:pPr>
              <w:keepNext/>
              <w:rPr>
                <w:rFonts w:asciiTheme="minorHAnsi" w:hAnsiTheme="minorHAnsi" w:cstheme="minorHAnsi"/>
                <w:b/>
                <w:color w:val="FFFFFF" w:themeColor="background1"/>
                <w:sz w:val="20"/>
              </w:rPr>
            </w:pPr>
            <w:r w:rsidRPr="00625208">
              <w:rPr>
                <w:rFonts w:asciiTheme="minorHAnsi" w:hAnsiTheme="minorHAnsi" w:cstheme="minorHAnsi"/>
                <w:b/>
                <w:color w:val="FFFFFF" w:themeColor="background1"/>
                <w:sz w:val="20"/>
              </w:rPr>
              <w:lastRenderedPageBreak/>
              <w:t>Public Reporting:</w:t>
            </w:r>
            <w:r w:rsidRPr="000D372F">
              <w:rPr>
                <w:rFonts w:asciiTheme="minorHAnsi" w:hAnsiTheme="minorHAnsi" w:cstheme="minorHAnsi"/>
                <w:color w:val="FFFFFF" w:themeColor="background1"/>
                <w:sz w:val="20"/>
              </w:rPr>
              <w:t xml:space="preserve"> </w:t>
            </w:r>
            <w:r w:rsidR="00793FCD" w:rsidRPr="00793FCD">
              <w:rPr>
                <w:rFonts w:asciiTheme="minorHAnsi" w:hAnsiTheme="minorHAnsi" w:cstheme="minorHAnsi"/>
                <w:color w:val="FFFFFF" w:themeColor="background1"/>
                <w:sz w:val="20"/>
              </w:rPr>
              <w:t xml:space="preserve">Describe the process and format for publicly reporting the performance of each LEA against the target of the state’s SPP/APR. Note where the </w:t>
            </w:r>
            <w:r w:rsidR="000D372F">
              <w:rPr>
                <w:rFonts w:asciiTheme="minorHAnsi" w:hAnsiTheme="minorHAnsi" w:cstheme="minorHAnsi"/>
                <w:color w:val="FFFFFF" w:themeColor="background1"/>
                <w:sz w:val="20"/>
              </w:rPr>
              <w:t>SEA</w:t>
            </w:r>
            <w:r w:rsidR="000D372F" w:rsidRPr="00793FCD">
              <w:rPr>
                <w:rFonts w:asciiTheme="minorHAnsi" w:hAnsiTheme="minorHAnsi" w:cstheme="minorHAnsi"/>
                <w:color w:val="FFFFFF" w:themeColor="background1"/>
                <w:sz w:val="20"/>
              </w:rPr>
              <w:t xml:space="preserve"> </w:t>
            </w:r>
            <w:r w:rsidR="00793FCD" w:rsidRPr="00793FCD">
              <w:rPr>
                <w:rFonts w:asciiTheme="minorHAnsi" w:hAnsiTheme="minorHAnsi" w:cstheme="minorHAnsi"/>
                <w:color w:val="FFFFFF" w:themeColor="background1"/>
                <w:sz w:val="20"/>
              </w:rPr>
              <w:t xml:space="preserve">posts the </w:t>
            </w:r>
            <w:r w:rsidR="00D216BC">
              <w:rPr>
                <w:rFonts w:asciiTheme="minorHAnsi" w:hAnsiTheme="minorHAnsi" w:cstheme="minorHAnsi"/>
                <w:color w:val="FFFFFF" w:themeColor="background1"/>
                <w:sz w:val="20"/>
              </w:rPr>
              <w:t>s</w:t>
            </w:r>
            <w:r w:rsidR="00793FCD" w:rsidRPr="00793FCD">
              <w:rPr>
                <w:rFonts w:asciiTheme="minorHAnsi" w:hAnsiTheme="minorHAnsi" w:cstheme="minorHAnsi"/>
                <w:color w:val="FFFFFF" w:themeColor="background1"/>
                <w:sz w:val="20"/>
              </w:rPr>
              <w:t xml:space="preserve">tate's SPP/APR and the performance of the LEAs against the </w:t>
            </w:r>
            <w:r w:rsidR="00505117" w:rsidRPr="00793FCD">
              <w:rPr>
                <w:rFonts w:asciiTheme="minorHAnsi" w:hAnsiTheme="minorHAnsi" w:cstheme="minorHAnsi"/>
                <w:color w:val="FFFFFF" w:themeColor="background1"/>
                <w:sz w:val="20"/>
              </w:rPr>
              <w:t>state targets</w:t>
            </w:r>
            <w:r w:rsidR="00793FCD" w:rsidRPr="00793FCD">
              <w:rPr>
                <w:rFonts w:asciiTheme="minorHAnsi" w:hAnsiTheme="minorHAnsi" w:cstheme="minorHAnsi"/>
                <w:color w:val="FFFFFF" w:themeColor="background1"/>
                <w:sz w:val="20"/>
              </w:rPr>
              <w:t>.</w:t>
            </w:r>
          </w:p>
        </w:tc>
      </w:tr>
      <w:tr w:rsidR="00625208" w:rsidRPr="00625208" w14:paraId="0562CB0E" w14:textId="77777777" w:rsidTr="00603AA1">
        <w:trPr>
          <w:cantSplit/>
          <w:trHeight w:val="20"/>
        </w:trPr>
        <w:tc>
          <w:tcPr>
            <w:tcW w:w="10080" w:type="dxa"/>
          </w:tcPr>
          <w:p w14:paraId="34CE0A41" w14:textId="77777777" w:rsidR="00625208" w:rsidRPr="00625208" w:rsidRDefault="00625208" w:rsidP="00603AA1">
            <w:pPr>
              <w:autoSpaceDE w:val="0"/>
              <w:autoSpaceDN w:val="0"/>
              <w:adjustRightInd w:val="0"/>
              <w:rPr>
                <w:rFonts w:asciiTheme="minorHAnsi" w:hAnsiTheme="minorHAnsi" w:cstheme="minorHAnsi"/>
                <w:color w:val="000000" w:themeColor="text1"/>
                <w:sz w:val="20"/>
              </w:rPr>
            </w:pPr>
          </w:p>
        </w:tc>
      </w:tr>
    </w:tbl>
    <w:p w14:paraId="62EBF3C5" w14:textId="77777777" w:rsidR="00625208" w:rsidRPr="00625208" w:rsidRDefault="00625208" w:rsidP="00625208">
      <w:pPr>
        <w:spacing w:line="240" w:lineRule="auto"/>
        <w:contextualSpacing/>
        <w:rPr>
          <w:rFonts w:asciiTheme="minorHAnsi" w:hAnsiTheme="minorHAnsi" w:cstheme="minorHAnsi"/>
          <w:color w:val="030A13"/>
          <w:szCs w:val="24"/>
          <w:shd w:val="clear" w:color="auto" w:fill="FFFFFF"/>
        </w:rPr>
      </w:pPr>
    </w:p>
    <w:sectPr w:rsidR="00625208" w:rsidRPr="00625208" w:rsidSect="00500D5B">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4D66" w16cex:dateUtc="2021-10-25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9A267" w16cid:durableId="2519C594"/>
  <w16cid:commentId w16cid:paraId="69F81798" w16cid:durableId="25214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1AA8B" w14:textId="77777777" w:rsidR="0027625E" w:rsidRDefault="0027625E">
      <w:pPr>
        <w:spacing w:line="240" w:lineRule="auto"/>
      </w:pPr>
      <w:r>
        <w:separator/>
      </w:r>
    </w:p>
  </w:endnote>
  <w:endnote w:type="continuationSeparator" w:id="0">
    <w:p w14:paraId="6EC81E47" w14:textId="77777777" w:rsidR="0027625E" w:rsidRDefault="00276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09D3" w14:textId="10C2487C" w:rsidR="00603AA1" w:rsidRPr="00C669F1" w:rsidRDefault="0027625E" w:rsidP="00603AA1">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603AA1" w:rsidRPr="005A143D">
        <w:rPr>
          <w:rStyle w:val="Hyperlink"/>
          <w:rFonts w:asciiTheme="minorHAnsi" w:hAnsiTheme="minorHAnsi" w:cstheme="minorHAnsi"/>
          <w:color w:val="0563C1"/>
          <w:sz w:val="20"/>
        </w:rPr>
        <w:t>www.ideadata.org/sea-data-processes-toolkit</w:t>
      </w:r>
    </w:hyperlink>
    <w:r w:rsidR="00603AA1" w:rsidRPr="00C669F1">
      <w:rPr>
        <w:rFonts w:asciiTheme="minorHAnsi" w:hAnsiTheme="minorHAnsi" w:cstheme="minorHAnsi"/>
        <w:color w:val="000000" w:themeColor="text1"/>
        <w:sz w:val="20"/>
      </w:rPr>
      <w:tab/>
    </w:r>
    <w:r w:rsidR="00603AA1" w:rsidRPr="00C669F1">
      <w:rPr>
        <w:rFonts w:asciiTheme="minorHAnsi" w:hAnsiTheme="minorHAnsi" w:cstheme="minorHAnsi"/>
        <w:color w:val="000000" w:themeColor="text1"/>
        <w:sz w:val="20"/>
      </w:rPr>
      <w:fldChar w:fldCharType="begin"/>
    </w:r>
    <w:r w:rsidR="00603AA1" w:rsidRPr="00C669F1">
      <w:rPr>
        <w:rFonts w:asciiTheme="minorHAnsi" w:hAnsiTheme="minorHAnsi" w:cstheme="minorHAnsi"/>
        <w:color w:val="000000" w:themeColor="text1"/>
        <w:sz w:val="20"/>
      </w:rPr>
      <w:instrText xml:space="preserve"> PAGE   \* MERGEFORMAT </w:instrText>
    </w:r>
    <w:r w:rsidR="00603AA1" w:rsidRPr="00C669F1">
      <w:rPr>
        <w:rFonts w:asciiTheme="minorHAnsi" w:hAnsiTheme="minorHAnsi" w:cstheme="minorHAnsi"/>
        <w:color w:val="000000" w:themeColor="text1"/>
        <w:sz w:val="20"/>
      </w:rPr>
      <w:fldChar w:fldCharType="separate"/>
    </w:r>
    <w:r w:rsidR="008A58AB">
      <w:rPr>
        <w:rFonts w:asciiTheme="minorHAnsi" w:hAnsiTheme="minorHAnsi" w:cstheme="minorHAnsi"/>
        <w:noProof/>
        <w:color w:val="000000" w:themeColor="text1"/>
        <w:sz w:val="20"/>
      </w:rPr>
      <w:t>5</w:t>
    </w:r>
    <w:r w:rsidR="00603AA1" w:rsidRPr="00C669F1">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5158" w14:textId="570648BF" w:rsidR="00603AA1" w:rsidRPr="00C669F1" w:rsidRDefault="0027625E" w:rsidP="00603AA1">
    <w:pPr>
      <w:tabs>
        <w:tab w:val="right" w:pos="10080"/>
        <w:tab w:val="right" w:pos="10800"/>
      </w:tabs>
      <w:spacing w:line="280" w:lineRule="atLeast"/>
      <w:ind w:right="360"/>
      <w:rPr>
        <w:rFonts w:asciiTheme="minorHAnsi" w:hAnsiTheme="minorHAnsi" w:cstheme="minorHAnsi"/>
        <w:color w:val="000000" w:themeColor="text1"/>
        <w:sz w:val="20"/>
      </w:rPr>
    </w:pPr>
    <w:hyperlink r:id="rId1" w:history="1">
      <w:r w:rsidR="00603AA1" w:rsidRPr="005A143D">
        <w:rPr>
          <w:rStyle w:val="Hyperlink"/>
          <w:rFonts w:asciiTheme="minorHAnsi" w:hAnsiTheme="minorHAnsi" w:cstheme="minorHAnsi"/>
          <w:color w:val="0563C1"/>
          <w:sz w:val="20"/>
        </w:rPr>
        <w:t>www.ideadata.org/sea-data-processes-toolkit</w:t>
      </w:r>
    </w:hyperlink>
    <w:r w:rsidR="00603AA1" w:rsidRPr="00C669F1">
      <w:rPr>
        <w:rFonts w:asciiTheme="minorHAnsi" w:hAnsiTheme="minorHAnsi" w:cstheme="minorHAnsi"/>
        <w:color w:val="000000" w:themeColor="text1"/>
        <w:sz w:val="20"/>
      </w:rPr>
      <w:tab/>
    </w:r>
    <w:r w:rsidR="00603AA1" w:rsidRPr="00C669F1">
      <w:rPr>
        <w:rFonts w:asciiTheme="minorHAnsi" w:hAnsiTheme="minorHAnsi" w:cstheme="minorHAnsi"/>
        <w:color w:val="000000" w:themeColor="text1"/>
        <w:sz w:val="20"/>
      </w:rPr>
      <w:fldChar w:fldCharType="begin"/>
    </w:r>
    <w:r w:rsidR="00603AA1" w:rsidRPr="00C669F1">
      <w:rPr>
        <w:rFonts w:asciiTheme="minorHAnsi" w:hAnsiTheme="minorHAnsi" w:cstheme="minorHAnsi"/>
        <w:color w:val="000000" w:themeColor="text1"/>
        <w:sz w:val="20"/>
      </w:rPr>
      <w:instrText xml:space="preserve"> PAGE   \* MERGEFORMAT </w:instrText>
    </w:r>
    <w:r w:rsidR="00603AA1" w:rsidRPr="00C669F1">
      <w:rPr>
        <w:rFonts w:asciiTheme="minorHAnsi" w:hAnsiTheme="minorHAnsi" w:cstheme="minorHAnsi"/>
        <w:color w:val="000000" w:themeColor="text1"/>
        <w:sz w:val="20"/>
      </w:rPr>
      <w:fldChar w:fldCharType="separate"/>
    </w:r>
    <w:r w:rsidR="008A58AB">
      <w:rPr>
        <w:rFonts w:asciiTheme="minorHAnsi" w:hAnsiTheme="minorHAnsi" w:cstheme="minorHAnsi"/>
        <w:noProof/>
        <w:color w:val="000000" w:themeColor="text1"/>
        <w:sz w:val="20"/>
      </w:rPr>
      <w:t>1</w:t>
    </w:r>
    <w:r w:rsidR="00603AA1" w:rsidRPr="00C669F1">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61971" w14:textId="77777777" w:rsidR="0027625E" w:rsidRDefault="0027625E">
      <w:pPr>
        <w:spacing w:line="240" w:lineRule="auto"/>
      </w:pPr>
      <w:r>
        <w:separator/>
      </w:r>
    </w:p>
  </w:footnote>
  <w:footnote w:type="continuationSeparator" w:id="0">
    <w:p w14:paraId="202A7A45" w14:textId="77777777" w:rsidR="0027625E" w:rsidRDefault="0027625E">
      <w:pPr>
        <w:spacing w:line="240" w:lineRule="auto"/>
      </w:pPr>
      <w:r>
        <w:continuationSeparator/>
      </w:r>
    </w:p>
  </w:footnote>
  <w:footnote w:id="1">
    <w:p w14:paraId="323BE819" w14:textId="3B15B3A8" w:rsidR="0019617E" w:rsidRPr="0019617E" w:rsidRDefault="0019617E" w:rsidP="00603AA1">
      <w:pPr>
        <w:pStyle w:val="FootnoteText"/>
        <w:spacing w:before="0" w:line="240" w:lineRule="atLeast"/>
        <w:ind w:left="0" w:firstLine="0"/>
        <w:rPr>
          <w:rFonts w:asciiTheme="minorHAnsi" w:hAnsiTheme="minorHAnsi" w:cstheme="minorHAnsi"/>
          <w:sz w:val="18"/>
          <w:szCs w:val="18"/>
        </w:rPr>
      </w:pPr>
      <w:r w:rsidRPr="0019617E">
        <w:rPr>
          <w:rStyle w:val="FootnoteReference"/>
          <w:rFonts w:asciiTheme="minorHAnsi" w:hAnsiTheme="minorHAnsi" w:cstheme="minorHAnsi"/>
          <w:sz w:val="18"/>
          <w:szCs w:val="18"/>
        </w:rPr>
        <w:footnoteRef/>
      </w:r>
      <w:r w:rsidRPr="0019617E">
        <w:rPr>
          <w:rFonts w:asciiTheme="minorHAnsi" w:hAnsiTheme="minorHAnsi" w:cstheme="minorHAnsi"/>
          <w:sz w:val="18"/>
          <w:szCs w:val="18"/>
        </w:rPr>
        <w:t xml:space="preserve"> </w:t>
      </w:r>
      <w:r>
        <w:rPr>
          <w:rFonts w:asciiTheme="minorHAnsi" w:hAnsiTheme="minorHAnsi" w:cstheme="minorHAnsi"/>
          <w:color w:val="000000" w:themeColor="text1"/>
          <w:sz w:val="18"/>
          <w:szCs w:val="18"/>
        </w:rPr>
        <w:t>I</w:t>
      </w:r>
      <w:r w:rsidRPr="0019617E">
        <w:rPr>
          <w:rFonts w:asciiTheme="minorHAnsi" w:hAnsiTheme="minorHAnsi" w:cstheme="minorHAnsi"/>
          <w:color w:val="000000" w:themeColor="text1"/>
          <w:sz w:val="18"/>
          <w:szCs w:val="18"/>
        </w:rPr>
        <w:t>nd</w:t>
      </w:r>
      <w:r>
        <w:rPr>
          <w:rFonts w:asciiTheme="minorHAnsi" w:hAnsiTheme="minorHAnsi" w:cstheme="minorHAnsi"/>
          <w:color w:val="000000" w:themeColor="text1"/>
          <w:sz w:val="18"/>
          <w:szCs w:val="18"/>
        </w:rPr>
        <w:t>ividualized education program</w:t>
      </w:r>
      <w:r w:rsidRPr="0019617E">
        <w:rPr>
          <w:rFonts w:asciiTheme="minorHAnsi" w:hAnsiTheme="minorHAnsi" w:cstheme="minorHAnsi"/>
          <w:color w:val="000000" w:themeColor="text1"/>
          <w:sz w:val="18"/>
          <w:szCs w:val="18"/>
        </w:rPr>
        <w:t>.</w:t>
      </w:r>
    </w:p>
  </w:footnote>
  <w:footnote w:id="2">
    <w:p w14:paraId="10F8E7CC" w14:textId="32CB00C7" w:rsidR="00625208" w:rsidRPr="00625208" w:rsidRDefault="00625208" w:rsidP="00603AA1">
      <w:pPr>
        <w:pStyle w:val="FootnoteText"/>
        <w:spacing w:before="0" w:line="240" w:lineRule="atLeast"/>
        <w:ind w:left="0" w:firstLine="0"/>
        <w:rPr>
          <w:rFonts w:asciiTheme="minorHAnsi" w:hAnsiTheme="minorHAnsi" w:cstheme="minorHAnsi"/>
          <w:sz w:val="18"/>
          <w:szCs w:val="18"/>
        </w:rPr>
      </w:pPr>
      <w:r w:rsidRPr="00625208">
        <w:rPr>
          <w:rStyle w:val="FootnoteReference"/>
          <w:rFonts w:asciiTheme="minorHAnsi" w:hAnsiTheme="minorHAnsi" w:cstheme="minorHAnsi"/>
          <w:sz w:val="18"/>
          <w:szCs w:val="18"/>
        </w:rPr>
        <w:footnoteRef/>
      </w:r>
      <w:r w:rsidR="00603AA1">
        <w:rPr>
          <w:rFonts w:asciiTheme="minorHAnsi" w:hAnsiTheme="minorHAnsi" w:cstheme="minorHAnsi"/>
          <w:b/>
          <w:sz w:val="18"/>
          <w:szCs w:val="18"/>
        </w:rPr>
        <w:t xml:space="preserve"> </w:t>
      </w:r>
      <w:r w:rsidRPr="00625208">
        <w:rPr>
          <w:rFonts w:asciiTheme="minorHAnsi" w:hAnsiTheme="minorHAnsi" w:cstheme="minorHAnsi"/>
          <w:b/>
          <w:sz w:val="18"/>
          <w:szCs w:val="18"/>
        </w:rPr>
        <w:t>Measurement:</w:t>
      </w:r>
      <w:r w:rsidRPr="00625208">
        <w:rPr>
          <w:rFonts w:asciiTheme="minorHAnsi" w:hAnsiTheme="minorHAnsi" w:cstheme="minorHAnsi"/>
          <w:sz w:val="18"/>
          <w:szCs w:val="18"/>
        </w:rPr>
        <w:t xml:space="preserve"> </w:t>
      </w:r>
      <w:r w:rsidR="0019617E" w:rsidRPr="0019617E">
        <w:rPr>
          <w:rFonts w:asciiTheme="minorHAnsi" w:hAnsiTheme="minorHAnsi" w:cstheme="minorHAnsi"/>
          <w:sz w:val="18"/>
          <w:szCs w:val="18"/>
        </w:rPr>
        <w:t>Part B State Performance Plan (SPP) and Annual Performance Report (APR) Part B Indicator Measurement Table: For Federal Fiscal Year (FFY) 2020 Submission.</w:t>
      </w:r>
    </w:p>
  </w:footnote>
  <w:footnote w:id="3">
    <w:p w14:paraId="16FB1F2B" w14:textId="506E8269" w:rsidR="00625208" w:rsidRPr="00625208" w:rsidRDefault="00625208" w:rsidP="00603AA1">
      <w:pPr>
        <w:pStyle w:val="FootnoteText"/>
        <w:spacing w:before="0" w:line="240" w:lineRule="atLeast"/>
        <w:ind w:left="0" w:firstLine="0"/>
        <w:rPr>
          <w:rFonts w:asciiTheme="minorHAnsi" w:hAnsiTheme="minorHAnsi" w:cstheme="minorHAnsi"/>
          <w:color w:val="000000" w:themeColor="text1"/>
          <w:sz w:val="18"/>
          <w:szCs w:val="18"/>
        </w:rPr>
      </w:pPr>
      <w:r w:rsidRPr="00625208">
        <w:rPr>
          <w:rStyle w:val="FootnoteReference"/>
          <w:rFonts w:asciiTheme="minorHAnsi" w:hAnsiTheme="minorHAnsi" w:cstheme="minorHAnsi"/>
          <w:color w:val="000000" w:themeColor="text1"/>
          <w:sz w:val="18"/>
          <w:szCs w:val="18"/>
        </w:rPr>
        <w:footnoteRef/>
      </w:r>
      <w:r w:rsidR="00603AA1">
        <w:rPr>
          <w:rFonts w:asciiTheme="minorHAnsi" w:hAnsiTheme="minorHAnsi" w:cstheme="minorHAnsi"/>
          <w:b/>
          <w:color w:val="000000" w:themeColor="text1"/>
          <w:sz w:val="18"/>
          <w:szCs w:val="18"/>
        </w:rPr>
        <w:t xml:space="preserve"> </w:t>
      </w:r>
      <w:r w:rsidRPr="00625208">
        <w:rPr>
          <w:rFonts w:asciiTheme="minorHAnsi" w:hAnsiTheme="minorHAnsi" w:cstheme="minorHAnsi"/>
          <w:b/>
          <w:color w:val="000000" w:themeColor="text1"/>
          <w:sz w:val="18"/>
          <w:szCs w:val="18"/>
        </w:rPr>
        <w:t>Collection:</w:t>
      </w:r>
      <w:r w:rsidRPr="00625208">
        <w:rPr>
          <w:rFonts w:asciiTheme="minorHAnsi" w:hAnsiTheme="minorHAnsi" w:cstheme="minorHAnsi"/>
          <w:color w:val="000000" w:themeColor="text1"/>
          <w:sz w:val="18"/>
          <w:szCs w:val="18"/>
        </w:rPr>
        <w:t xml:space="preserve"> Refer to Measurement Table for definitions of all four reporting categories and note that the definition of competitive employment changes as of the FFY </w:t>
      </w:r>
      <w:r w:rsidR="00A073A9">
        <w:rPr>
          <w:rFonts w:asciiTheme="minorHAnsi" w:hAnsiTheme="minorHAnsi" w:cstheme="minorHAnsi"/>
          <w:color w:val="000000" w:themeColor="text1"/>
          <w:sz w:val="18"/>
          <w:szCs w:val="18"/>
        </w:rPr>
        <w:t>2020</w:t>
      </w:r>
      <w:r w:rsidR="00A073A9" w:rsidRPr="00625208">
        <w:rPr>
          <w:rFonts w:asciiTheme="minorHAnsi" w:hAnsiTheme="minorHAnsi" w:cstheme="minorHAnsi"/>
          <w:color w:val="000000" w:themeColor="text1"/>
          <w:sz w:val="18"/>
          <w:szCs w:val="18"/>
        </w:rPr>
        <w:t xml:space="preserve"> </w:t>
      </w:r>
      <w:r w:rsidRPr="00625208">
        <w:rPr>
          <w:rFonts w:asciiTheme="minorHAnsi" w:hAnsiTheme="minorHAnsi" w:cstheme="minorHAnsi"/>
          <w:color w:val="000000" w:themeColor="text1"/>
          <w:sz w:val="18"/>
          <w:szCs w:val="18"/>
        </w:rPr>
        <w:t xml:space="preserve">SPP/APR, due February </w:t>
      </w:r>
      <w:r w:rsidR="00A073A9" w:rsidRPr="00625208">
        <w:rPr>
          <w:rFonts w:asciiTheme="minorHAnsi" w:hAnsiTheme="minorHAnsi" w:cstheme="minorHAnsi"/>
          <w:color w:val="000000" w:themeColor="text1"/>
          <w:sz w:val="18"/>
          <w:szCs w:val="18"/>
        </w:rPr>
        <w:t>202</w:t>
      </w:r>
      <w:r w:rsidR="00A073A9">
        <w:rPr>
          <w:rFonts w:asciiTheme="minorHAnsi" w:hAnsiTheme="minorHAnsi" w:cstheme="minorHAnsi"/>
          <w:color w:val="000000" w:themeColor="text1"/>
          <w:sz w:val="18"/>
          <w:szCs w:val="18"/>
        </w:rPr>
        <w:t>2</w:t>
      </w:r>
      <w:r w:rsidRPr="00625208">
        <w:rPr>
          <w:rFonts w:asciiTheme="minorHAnsi" w:hAnsiTheme="minorHAnsi" w:cstheme="minorHAnsi"/>
          <w:color w:val="000000" w:themeColor="text1"/>
          <w:sz w:val="18"/>
          <w:szCs w:val="18"/>
        </w:rPr>
        <w:t xml:space="preserve">. </w:t>
      </w:r>
    </w:p>
  </w:footnote>
  <w:footnote w:id="4">
    <w:p w14:paraId="4BB931D8" w14:textId="5493BB5E" w:rsidR="00625208" w:rsidRPr="00625208" w:rsidRDefault="00625208" w:rsidP="00603AA1">
      <w:pPr>
        <w:pStyle w:val="SL-FlLftSgl"/>
        <w:rPr>
          <w:rFonts w:asciiTheme="minorHAnsi" w:hAnsiTheme="minorHAnsi" w:cstheme="minorHAnsi"/>
          <w:b/>
          <w:color w:val="000000" w:themeColor="text1"/>
          <w:sz w:val="18"/>
          <w:szCs w:val="18"/>
        </w:rPr>
      </w:pPr>
      <w:r w:rsidRPr="00625208">
        <w:rPr>
          <w:rStyle w:val="FootnoteReference"/>
          <w:rFonts w:asciiTheme="minorHAnsi" w:hAnsiTheme="minorHAnsi" w:cstheme="minorHAnsi"/>
          <w:color w:val="000000" w:themeColor="text1"/>
          <w:sz w:val="18"/>
          <w:szCs w:val="18"/>
        </w:rPr>
        <w:footnoteRef/>
      </w:r>
      <w:r w:rsidR="00603AA1">
        <w:rPr>
          <w:rFonts w:asciiTheme="minorHAnsi" w:hAnsiTheme="minorHAnsi" w:cstheme="minorHAnsi"/>
          <w:b/>
          <w:color w:val="000000" w:themeColor="text1"/>
          <w:sz w:val="18"/>
          <w:szCs w:val="18"/>
        </w:rPr>
        <w:t xml:space="preserve"> </w:t>
      </w:r>
      <w:r w:rsidRPr="00625208">
        <w:rPr>
          <w:rFonts w:asciiTheme="minorHAnsi" w:hAnsiTheme="minorHAnsi" w:cstheme="minorHAnsi"/>
          <w:b/>
          <w:color w:val="000000" w:themeColor="text1"/>
          <w:sz w:val="18"/>
          <w:szCs w:val="18"/>
        </w:rPr>
        <w:t>Data Analysis:</w:t>
      </w:r>
      <w:r w:rsidRPr="00625208">
        <w:rPr>
          <w:rFonts w:asciiTheme="minorHAnsi" w:hAnsiTheme="minorHAnsi" w:cstheme="minorHAnsi"/>
          <w:color w:val="000000" w:themeColor="text1"/>
          <w:sz w:val="18"/>
          <w:szCs w:val="18"/>
        </w:rPr>
        <w:t xml:space="preserve"> Review data </w:t>
      </w:r>
      <w:proofErr w:type="gramStart"/>
      <w:r w:rsidRPr="00625208">
        <w:rPr>
          <w:rFonts w:asciiTheme="minorHAnsi" w:hAnsiTheme="minorHAnsi" w:cstheme="minorHAnsi"/>
          <w:color w:val="000000" w:themeColor="text1"/>
          <w:sz w:val="18"/>
          <w:szCs w:val="18"/>
        </w:rPr>
        <w:t>year to year</w:t>
      </w:r>
      <w:proofErr w:type="gramEnd"/>
      <w:r w:rsidRPr="00625208">
        <w:rPr>
          <w:rFonts w:asciiTheme="minorHAnsi" w:hAnsiTheme="minorHAnsi" w:cstheme="minorHAnsi"/>
          <w:color w:val="000000" w:themeColor="text1"/>
          <w:sz w:val="18"/>
          <w:szCs w:val="18"/>
        </w:rPr>
        <w:t xml:space="preserve">, looking for patterns statewide and within LEAs, outliers, </w:t>
      </w:r>
      <w:r w:rsidR="000D372F">
        <w:rPr>
          <w:rFonts w:asciiTheme="minorHAnsi" w:hAnsiTheme="minorHAnsi" w:cstheme="minorHAnsi"/>
          <w:color w:val="000000" w:themeColor="text1"/>
          <w:sz w:val="18"/>
          <w:szCs w:val="18"/>
        </w:rPr>
        <w:t xml:space="preserve">information about </w:t>
      </w:r>
      <w:r w:rsidRPr="00625208">
        <w:rPr>
          <w:rFonts w:asciiTheme="minorHAnsi" w:hAnsiTheme="minorHAnsi" w:cstheme="minorHAnsi"/>
          <w:color w:val="000000" w:themeColor="text1"/>
          <w:sz w:val="18"/>
          <w:szCs w:val="18"/>
        </w:rPr>
        <w:t>whether targets are met or not met, and slippage.</w:t>
      </w:r>
    </w:p>
  </w:footnote>
  <w:footnote w:id="5">
    <w:p w14:paraId="5C1FBF5D" w14:textId="28DDD389" w:rsidR="00625208" w:rsidRPr="00625208" w:rsidRDefault="00625208" w:rsidP="00603AA1">
      <w:pPr>
        <w:pStyle w:val="FootnoteText"/>
        <w:spacing w:before="0" w:line="240" w:lineRule="atLeast"/>
        <w:ind w:left="0" w:firstLine="0"/>
        <w:rPr>
          <w:rFonts w:asciiTheme="minorHAnsi" w:hAnsiTheme="minorHAnsi" w:cstheme="minorHAnsi"/>
          <w:color w:val="000000" w:themeColor="text1"/>
          <w:sz w:val="18"/>
          <w:szCs w:val="18"/>
        </w:rPr>
      </w:pPr>
      <w:r w:rsidRPr="00625208">
        <w:rPr>
          <w:rStyle w:val="FootnoteReference"/>
          <w:rFonts w:asciiTheme="minorHAnsi" w:hAnsiTheme="minorHAnsi" w:cstheme="minorHAnsi"/>
          <w:color w:val="000000" w:themeColor="text1"/>
          <w:sz w:val="18"/>
          <w:szCs w:val="18"/>
        </w:rPr>
        <w:footnoteRef/>
      </w:r>
      <w:r w:rsidR="00603AA1">
        <w:rPr>
          <w:rFonts w:asciiTheme="minorHAnsi" w:hAnsiTheme="minorHAnsi" w:cstheme="minorHAnsi"/>
          <w:b/>
          <w:color w:val="000000" w:themeColor="text1"/>
          <w:sz w:val="18"/>
          <w:szCs w:val="18"/>
        </w:rPr>
        <w:t xml:space="preserve"> </w:t>
      </w:r>
      <w:r w:rsidRPr="00625208">
        <w:rPr>
          <w:rFonts w:asciiTheme="minorHAnsi" w:hAnsiTheme="minorHAnsi" w:cstheme="minorHAnsi"/>
          <w:b/>
          <w:color w:val="000000" w:themeColor="text1"/>
          <w:sz w:val="18"/>
          <w:szCs w:val="18"/>
        </w:rPr>
        <w:t>Clarification:</w:t>
      </w:r>
      <w:r w:rsidRPr="00625208">
        <w:rPr>
          <w:rFonts w:asciiTheme="minorHAnsi" w:hAnsiTheme="minorHAnsi" w:cstheme="minorHAnsi"/>
          <w:color w:val="000000" w:themeColor="text1"/>
          <w:sz w:val="18"/>
          <w:szCs w:val="18"/>
        </w:rPr>
        <w:t xml:space="preserve"> OSEP generally sends clarification requests to </w:t>
      </w:r>
      <w:r w:rsidR="000D372F">
        <w:rPr>
          <w:rFonts w:asciiTheme="minorHAnsi" w:hAnsiTheme="minorHAnsi" w:cstheme="minorHAnsi"/>
          <w:color w:val="000000" w:themeColor="text1"/>
          <w:sz w:val="18"/>
          <w:szCs w:val="18"/>
        </w:rPr>
        <w:t>SEAs</w:t>
      </w:r>
      <w:r w:rsidR="000D372F" w:rsidRPr="00625208">
        <w:rPr>
          <w:rFonts w:asciiTheme="minorHAnsi" w:hAnsiTheme="minorHAnsi" w:cstheme="minorHAnsi"/>
          <w:color w:val="000000" w:themeColor="text1"/>
          <w:sz w:val="18"/>
          <w:szCs w:val="18"/>
        </w:rPr>
        <w:t xml:space="preserve"> </w:t>
      </w:r>
      <w:r w:rsidR="00447061">
        <w:rPr>
          <w:rFonts w:asciiTheme="minorHAnsi" w:hAnsiTheme="minorHAnsi" w:cstheme="minorHAnsi"/>
          <w:color w:val="000000" w:themeColor="text1"/>
          <w:sz w:val="18"/>
          <w:szCs w:val="18"/>
        </w:rPr>
        <w:t xml:space="preserve">about 60 days </w:t>
      </w:r>
      <w:proofErr w:type="spellStart"/>
      <w:r w:rsidR="00447061">
        <w:rPr>
          <w:rFonts w:asciiTheme="minorHAnsi" w:hAnsiTheme="minorHAnsi" w:cstheme="minorHAnsi"/>
          <w:color w:val="000000" w:themeColor="text1"/>
          <w:sz w:val="18"/>
          <w:szCs w:val="18"/>
        </w:rPr>
        <w:t>post</w:t>
      </w:r>
      <w:r w:rsidRPr="00625208">
        <w:rPr>
          <w:rFonts w:asciiTheme="minorHAnsi" w:hAnsiTheme="minorHAnsi" w:cstheme="minorHAnsi"/>
          <w:color w:val="000000" w:themeColor="text1"/>
          <w:sz w:val="18"/>
          <w:szCs w:val="18"/>
        </w:rPr>
        <w:t>submission</w:t>
      </w:r>
      <w:proofErr w:type="spellEnd"/>
      <w:r w:rsidRPr="00625208">
        <w:rPr>
          <w:rFonts w:asciiTheme="minorHAnsi" w:hAnsiTheme="minorHAnsi" w:cstheme="minorHAnsi"/>
          <w:color w:val="000000" w:themeColor="text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AEC2" w14:textId="77777777" w:rsidR="00603AA1" w:rsidRPr="003F6AEC" w:rsidRDefault="00603AA1" w:rsidP="00603AA1">
    <w:pPr>
      <w:pBdr>
        <w:bottom w:val="single" w:sz="4" w:space="9" w:color="0A0A0A"/>
      </w:pBdr>
      <w:tabs>
        <w:tab w:val="center" w:pos="4680"/>
        <w:tab w:val="right" w:pos="9360"/>
      </w:tabs>
      <w:ind w:left="14" w:right="14"/>
      <w:rPr>
        <w:rFonts w:ascii="Calibri" w:eastAsia="Calibri" w:hAnsi="Calibri" w:cs="Calibri"/>
        <w:color w:val="0A0A0A"/>
        <w:sz w:val="16"/>
        <w:szCs w:val="24"/>
      </w:rPr>
    </w:pPr>
    <w:bookmarkStart w:id="1" w:name="_Hlk86068137"/>
    <w:r w:rsidRPr="001E3F62">
      <w:rPr>
        <w:rFonts w:ascii="Calibri" w:eastAsia="Calibri" w:hAnsi="Calibri" w:cs="Calibri"/>
        <w:noProof/>
        <w:color w:val="0A0A0A"/>
        <w:sz w:val="16"/>
      </w:rPr>
      <w:drawing>
        <wp:anchor distT="0" distB="0" distL="114300" distR="114300" simplePos="0" relativeHeight="251659264" behindDoc="0" locked="0" layoutInCell="1" allowOverlap="1" wp14:anchorId="34B337D2" wp14:editId="5A7149FB">
          <wp:simplePos x="0" y="0"/>
          <wp:positionH relativeFrom="margin">
            <wp:posOffset>5702060</wp:posOffset>
          </wp:positionH>
          <wp:positionV relativeFrom="margin">
            <wp:posOffset>-1310353</wp:posOffset>
          </wp:positionV>
          <wp:extent cx="709930" cy="457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C669F1">
      <w:rPr>
        <w:rFonts w:asciiTheme="minorHAnsi" w:hAnsiTheme="minorHAnsi" w:cstheme="minorHAnsi"/>
        <w:noProof/>
        <w:color w:val="000000" w:themeColor="text1"/>
        <w:sz w:val="16"/>
        <w:szCs w:val="16"/>
      </w:rPr>
      <w:t>SEA Data Processes Toolkit</w:t>
    </w:r>
  </w:p>
  <w:bookmarkEnd w:id="1"/>
  <w:p w14:paraId="7EA10DCE" w14:textId="77777777" w:rsidR="00500D5B" w:rsidRPr="006F0550" w:rsidRDefault="00625208" w:rsidP="00603AA1">
    <w:pPr>
      <w:pStyle w:val="Header"/>
      <w:pBdr>
        <w:bottom w:val="single" w:sz="18" w:space="8" w:color="26847A"/>
      </w:pBdr>
      <w:tabs>
        <w:tab w:val="right" w:pos="10800"/>
      </w:tabs>
      <w:spacing w:before="240"/>
      <w:ind w:left="45" w:right="18"/>
      <w:jc w:val="center"/>
      <w:rPr>
        <w:rFonts w:asciiTheme="minorHAnsi" w:hAnsiTheme="minorHAnsi"/>
        <w:b/>
        <w:color w:val="01579B"/>
        <w:sz w:val="32"/>
        <w:szCs w:val="32"/>
      </w:rPr>
    </w:pPr>
    <w:r w:rsidRPr="006F0550">
      <w:rPr>
        <w:rFonts w:asciiTheme="minorHAnsi" w:hAnsiTheme="minorHAnsi"/>
        <w:b/>
        <w:color w:val="01579B"/>
        <w:sz w:val="32"/>
        <w:szCs w:val="32"/>
      </w:rPr>
      <w:t>Data Collection Protocol—Indicator 14. Post-School Outcomes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224864" w:rsidRDefault="00625208" w:rsidP="00603AA1">
    <w:pPr>
      <w:pStyle w:val="C2-CtrSglSp"/>
      <w:keepLines w:val="0"/>
      <w:spacing w:after="240"/>
    </w:pPr>
    <w:r>
      <w:rPr>
        <w:noProof/>
      </w:rPr>
      <w:drawing>
        <wp:inline distT="0" distB="0" distL="0" distR="0" wp14:anchorId="2B86D8C6" wp14:editId="6F36F9F2">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cator 14. Post-School Outcomes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08"/>
    <w:rsid w:val="00030D86"/>
    <w:rsid w:val="000350E9"/>
    <w:rsid w:val="00036AF4"/>
    <w:rsid w:val="00043871"/>
    <w:rsid w:val="000447C2"/>
    <w:rsid w:val="00047085"/>
    <w:rsid w:val="00047903"/>
    <w:rsid w:val="00051CB9"/>
    <w:rsid w:val="00051FAB"/>
    <w:rsid w:val="00057925"/>
    <w:rsid w:val="00061C43"/>
    <w:rsid w:val="0006498E"/>
    <w:rsid w:val="00066207"/>
    <w:rsid w:val="00073632"/>
    <w:rsid w:val="00073F2D"/>
    <w:rsid w:val="00076495"/>
    <w:rsid w:val="000841DB"/>
    <w:rsid w:val="00091A23"/>
    <w:rsid w:val="000C33DB"/>
    <w:rsid w:val="000D02CD"/>
    <w:rsid w:val="000D372F"/>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9617E"/>
    <w:rsid w:val="001A10A2"/>
    <w:rsid w:val="001A15F1"/>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7625E"/>
    <w:rsid w:val="00276C74"/>
    <w:rsid w:val="00282312"/>
    <w:rsid w:val="002851B1"/>
    <w:rsid w:val="002955F7"/>
    <w:rsid w:val="002A6821"/>
    <w:rsid w:val="002B5D48"/>
    <w:rsid w:val="002C2FA4"/>
    <w:rsid w:val="002D1420"/>
    <w:rsid w:val="002D3E8C"/>
    <w:rsid w:val="002E6628"/>
    <w:rsid w:val="002F0F19"/>
    <w:rsid w:val="002F5259"/>
    <w:rsid w:val="00302E5C"/>
    <w:rsid w:val="00304009"/>
    <w:rsid w:val="00315646"/>
    <w:rsid w:val="00323FC9"/>
    <w:rsid w:val="003254F9"/>
    <w:rsid w:val="00336364"/>
    <w:rsid w:val="0037085D"/>
    <w:rsid w:val="0037565E"/>
    <w:rsid w:val="00383C29"/>
    <w:rsid w:val="00386BFC"/>
    <w:rsid w:val="00397B0B"/>
    <w:rsid w:val="003A03A1"/>
    <w:rsid w:val="003A33F2"/>
    <w:rsid w:val="003A4615"/>
    <w:rsid w:val="003A522C"/>
    <w:rsid w:val="003A6AB6"/>
    <w:rsid w:val="003B76F0"/>
    <w:rsid w:val="003C256F"/>
    <w:rsid w:val="003C3199"/>
    <w:rsid w:val="003D734E"/>
    <w:rsid w:val="003E5FB7"/>
    <w:rsid w:val="004144E2"/>
    <w:rsid w:val="00414B36"/>
    <w:rsid w:val="004153AF"/>
    <w:rsid w:val="00417779"/>
    <w:rsid w:val="00420A44"/>
    <w:rsid w:val="00421E98"/>
    <w:rsid w:val="0042501C"/>
    <w:rsid w:val="004273F4"/>
    <w:rsid w:val="00447061"/>
    <w:rsid w:val="00462142"/>
    <w:rsid w:val="0047041E"/>
    <w:rsid w:val="004762B0"/>
    <w:rsid w:val="00481DB2"/>
    <w:rsid w:val="00493E51"/>
    <w:rsid w:val="004B3AEF"/>
    <w:rsid w:val="004D0D4C"/>
    <w:rsid w:val="004D3719"/>
    <w:rsid w:val="004E7AC1"/>
    <w:rsid w:val="004F094A"/>
    <w:rsid w:val="00505117"/>
    <w:rsid w:val="005126C1"/>
    <w:rsid w:val="00517BD9"/>
    <w:rsid w:val="00530479"/>
    <w:rsid w:val="00541C6A"/>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0AD"/>
    <w:rsid w:val="005D5BBC"/>
    <w:rsid w:val="005E1EF5"/>
    <w:rsid w:val="005E3AA1"/>
    <w:rsid w:val="005E53FF"/>
    <w:rsid w:val="005F33C9"/>
    <w:rsid w:val="005F5509"/>
    <w:rsid w:val="00603AA1"/>
    <w:rsid w:val="006045AC"/>
    <w:rsid w:val="00614494"/>
    <w:rsid w:val="00625208"/>
    <w:rsid w:val="006313A0"/>
    <w:rsid w:val="00633039"/>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6F0550"/>
    <w:rsid w:val="0070039E"/>
    <w:rsid w:val="007035CD"/>
    <w:rsid w:val="00705A09"/>
    <w:rsid w:val="00707A44"/>
    <w:rsid w:val="00721588"/>
    <w:rsid w:val="0072337A"/>
    <w:rsid w:val="007304BD"/>
    <w:rsid w:val="00731A44"/>
    <w:rsid w:val="00732F70"/>
    <w:rsid w:val="0073525D"/>
    <w:rsid w:val="00741FAB"/>
    <w:rsid w:val="0074389B"/>
    <w:rsid w:val="007574F7"/>
    <w:rsid w:val="00770E81"/>
    <w:rsid w:val="00774268"/>
    <w:rsid w:val="0077775D"/>
    <w:rsid w:val="00793FCD"/>
    <w:rsid w:val="00795760"/>
    <w:rsid w:val="007A4BF5"/>
    <w:rsid w:val="007A6CCC"/>
    <w:rsid w:val="007A76FF"/>
    <w:rsid w:val="007A7CB3"/>
    <w:rsid w:val="007C0946"/>
    <w:rsid w:val="007C2D80"/>
    <w:rsid w:val="007E4868"/>
    <w:rsid w:val="00820C97"/>
    <w:rsid w:val="008478CF"/>
    <w:rsid w:val="00850A8B"/>
    <w:rsid w:val="00853851"/>
    <w:rsid w:val="008562F2"/>
    <w:rsid w:val="0086324B"/>
    <w:rsid w:val="008750B5"/>
    <w:rsid w:val="0088021E"/>
    <w:rsid w:val="008874B0"/>
    <w:rsid w:val="00887EC8"/>
    <w:rsid w:val="00890E6F"/>
    <w:rsid w:val="00894610"/>
    <w:rsid w:val="00895E95"/>
    <w:rsid w:val="008A07B0"/>
    <w:rsid w:val="008A5100"/>
    <w:rsid w:val="008A58AB"/>
    <w:rsid w:val="008A6988"/>
    <w:rsid w:val="008B577C"/>
    <w:rsid w:val="008D3F3F"/>
    <w:rsid w:val="008D45A5"/>
    <w:rsid w:val="00907E93"/>
    <w:rsid w:val="00923737"/>
    <w:rsid w:val="00923C66"/>
    <w:rsid w:val="0092602F"/>
    <w:rsid w:val="009355F7"/>
    <w:rsid w:val="00940319"/>
    <w:rsid w:val="00944840"/>
    <w:rsid w:val="00950A60"/>
    <w:rsid w:val="0095362B"/>
    <w:rsid w:val="00964C9E"/>
    <w:rsid w:val="00967E91"/>
    <w:rsid w:val="0097142D"/>
    <w:rsid w:val="009871D3"/>
    <w:rsid w:val="00992616"/>
    <w:rsid w:val="00992641"/>
    <w:rsid w:val="009943A4"/>
    <w:rsid w:val="009B290E"/>
    <w:rsid w:val="009D254B"/>
    <w:rsid w:val="009F4D28"/>
    <w:rsid w:val="00A00B1A"/>
    <w:rsid w:val="00A06031"/>
    <w:rsid w:val="00A073A9"/>
    <w:rsid w:val="00A15A6F"/>
    <w:rsid w:val="00A17BA5"/>
    <w:rsid w:val="00A26E08"/>
    <w:rsid w:val="00A44935"/>
    <w:rsid w:val="00A5064E"/>
    <w:rsid w:val="00A63FF4"/>
    <w:rsid w:val="00A6647C"/>
    <w:rsid w:val="00A668DB"/>
    <w:rsid w:val="00A673C4"/>
    <w:rsid w:val="00A755BD"/>
    <w:rsid w:val="00A75648"/>
    <w:rsid w:val="00A77D80"/>
    <w:rsid w:val="00A80085"/>
    <w:rsid w:val="00A80C12"/>
    <w:rsid w:val="00A816B5"/>
    <w:rsid w:val="00A877F4"/>
    <w:rsid w:val="00A9104B"/>
    <w:rsid w:val="00AA0E83"/>
    <w:rsid w:val="00AC64BC"/>
    <w:rsid w:val="00AD5980"/>
    <w:rsid w:val="00AF1251"/>
    <w:rsid w:val="00AF3094"/>
    <w:rsid w:val="00AF69FE"/>
    <w:rsid w:val="00B037E2"/>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E60DC"/>
    <w:rsid w:val="00BE6249"/>
    <w:rsid w:val="00BF2625"/>
    <w:rsid w:val="00C02332"/>
    <w:rsid w:val="00C06140"/>
    <w:rsid w:val="00C07120"/>
    <w:rsid w:val="00C14B4C"/>
    <w:rsid w:val="00C16990"/>
    <w:rsid w:val="00C23317"/>
    <w:rsid w:val="00C25DF6"/>
    <w:rsid w:val="00C274BD"/>
    <w:rsid w:val="00C31396"/>
    <w:rsid w:val="00C41ADD"/>
    <w:rsid w:val="00C44186"/>
    <w:rsid w:val="00C46871"/>
    <w:rsid w:val="00C50612"/>
    <w:rsid w:val="00C61052"/>
    <w:rsid w:val="00C61ED2"/>
    <w:rsid w:val="00C62580"/>
    <w:rsid w:val="00C81152"/>
    <w:rsid w:val="00C9296E"/>
    <w:rsid w:val="00C9473F"/>
    <w:rsid w:val="00CB6421"/>
    <w:rsid w:val="00CD70C0"/>
    <w:rsid w:val="00CE0A78"/>
    <w:rsid w:val="00CE6820"/>
    <w:rsid w:val="00CF2F50"/>
    <w:rsid w:val="00D026CE"/>
    <w:rsid w:val="00D13EC5"/>
    <w:rsid w:val="00D177D5"/>
    <w:rsid w:val="00D216BC"/>
    <w:rsid w:val="00D229C9"/>
    <w:rsid w:val="00D256B0"/>
    <w:rsid w:val="00D302BC"/>
    <w:rsid w:val="00D53987"/>
    <w:rsid w:val="00D564BE"/>
    <w:rsid w:val="00D63563"/>
    <w:rsid w:val="00D6490C"/>
    <w:rsid w:val="00DB4B6E"/>
    <w:rsid w:val="00DB6CEF"/>
    <w:rsid w:val="00DC783D"/>
    <w:rsid w:val="00DD3478"/>
    <w:rsid w:val="00DD4E06"/>
    <w:rsid w:val="00DE1603"/>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B6ED2"/>
    <w:rsid w:val="00EC17B6"/>
    <w:rsid w:val="00EC5256"/>
    <w:rsid w:val="00ED3B35"/>
    <w:rsid w:val="00EE593E"/>
    <w:rsid w:val="00EF4608"/>
    <w:rsid w:val="00F163C6"/>
    <w:rsid w:val="00F26EC3"/>
    <w:rsid w:val="00F34190"/>
    <w:rsid w:val="00F44184"/>
    <w:rsid w:val="00F532EB"/>
    <w:rsid w:val="00F54A25"/>
    <w:rsid w:val="00F567AF"/>
    <w:rsid w:val="00F72113"/>
    <w:rsid w:val="00F73873"/>
    <w:rsid w:val="00F7603A"/>
    <w:rsid w:val="00F8789A"/>
    <w:rsid w:val="00FA426B"/>
    <w:rsid w:val="00FB2FBC"/>
    <w:rsid w:val="00FF1233"/>
    <w:rsid w:val="00FF1595"/>
    <w:rsid w:val="00FF3CD7"/>
    <w:rsid w:val="01F85BB5"/>
    <w:rsid w:val="0DA0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34C5F"/>
  <w15:chartTrackingRefBased/>
  <w15:docId w15:val="{39114347-9E32-4046-9C01-4694B087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62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625208"/>
    <w:rPr>
      <w:rFonts w:ascii="Garamond" w:hAnsi="Garamond"/>
      <w:sz w:val="24"/>
    </w:rPr>
  </w:style>
  <w:style w:type="character" w:customStyle="1" w:styleId="Heading2Char">
    <w:name w:val="Heading 2 Char"/>
    <w:aliases w:val="H2-Sec. Head Char"/>
    <w:basedOn w:val="DefaultParagraphFont"/>
    <w:link w:val="Heading2"/>
    <w:rsid w:val="00625208"/>
    <w:rPr>
      <w:rFonts w:ascii="Franklin Gothic Medium" w:hAnsi="Franklin Gothic Medium"/>
      <w:b/>
      <w:color w:val="324162"/>
      <w:sz w:val="32"/>
    </w:rPr>
  </w:style>
  <w:style w:type="character" w:customStyle="1" w:styleId="HeaderChar">
    <w:name w:val="Header Char"/>
    <w:basedOn w:val="DefaultParagraphFont"/>
    <w:link w:val="Header"/>
    <w:rsid w:val="00625208"/>
    <w:rPr>
      <w:rFonts w:ascii="Garamond" w:hAnsi="Garamond"/>
    </w:rPr>
  </w:style>
  <w:style w:type="character" w:styleId="CommentReference">
    <w:name w:val="annotation reference"/>
    <w:basedOn w:val="DefaultParagraphFont"/>
    <w:uiPriority w:val="99"/>
    <w:semiHidden/>
    <w:unhideWhenUsed/>
    <w:rsid w:val="000841DB"/>
    <w:rPr>
      <w:sz w:val="16"/>
      <w:szCs w:val="16"/>
    </w:rPr>
  </w:style>
  <w:style w:type="paragraph" w:styleId="CommentText">
    <w:name w:val="annotation text"/>
    <w:basedOn w:val="Normal"/>
    <w:link w:val="CommentTextChar"/>
    <w:uiPriority w:val="99"/>
    <w:semiHidden/>
    <w:unhideWhenUsed/>
    <w:rsid w:val="000841DB"/>
    <w:pPr>
      <w:spacing w:line="240" w:lineRule="auto"/>
    </w:pPr>
    <w:rPr>
      <w:sz w:val="20"/>
    </w:rPr>
  </w:style>
  <w:style w:type="character" w:customStyle="1" w:styleId="CommentTextChar">
    <w:name w:val="Comment Text Char"/>
    <w:basedOn w:val="DefaultParagraphFont"/>
    <w:link w:val="CommentText"/>
    <w:uiPriority w:val="99"/>
    <w:semiHidden/>
    <w:rsid w:val="000841DB"/>
    <w:rPr>
      <w:rFonts w:ascii="Garamond" w:hAnsi="Garamond"/>
    </w:rPr>
  </w:style>
  <w:style w:type="paragraph" w:styleId="CommentSubject">
    <w:name w:val="annotation subject"/>
    <w:basedOn w:val="CommentText"/>
    <w:next w:val="CommentText"/>
    <w:link w:val="CommentSubjectChar"/>
    <w:uiPriority w:val="99"/>
    <w:semiHidden/>
    <w:unhideWhenUsed/>
    <w:rsid w:val="000841DB"/>
    <w:rPr>
      <w:b/>
      <w:bCs/>
    </w:rPr>
  </w:style>
  <w:style w:type="character" w:customStyle="1" w:styleId="CommentSubjectChar">
    <w:name w:val="Comment Subject Char"/>
    <w:basedOn w:val="CommentTextChar"/>
    <w:link w:val="CommentSubject"/>
    <w:uiPriority w:val="99"/>
    <w:semiHidden/>
    <w:rsid w:val="000841DB"/>
    <w:rPr>
      <w:rFonts w:ascii="Garamond" w:hAnsi="Garamond"/>
      <w:b/>
      <w:bCs/>
    </w:rPr>
  </w:style>
  <w:style w:type="paragraph" w:styleId="Revision">
    <w:name w:val="Revision"/>
    <w:hidden/>
    <w:uiPriority w:val="99"/>
    <w:semiHidden/>
    <w:rsid w:val="00DC783D"/>
    <w:rPr>
      <w:rFonts w:ascii="Garamond" w:hAnsi="Garamond"/>
      <w:sz w:val="24"/>
    </w:rPr>
  </w:style>
  <w:style w:type="character" w:styleId="Hyperlink">
    <w:name w:val="Hyperlink"/>
    <w:basedOn w:val="DefaultParagraphFont"/>
    <w:uiPriority w:val="99"/>
    <w:unhideWhenUsed/>
    <w:rsid w:val="00603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201C-885C-4B66-98C3-CC5978C1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Linda Lynch</cp:lastModifiedBy>
  <cp:revision>18</cp:revision>
  <cp:lastPrinted>2021-08-08T23:33:00Z</cp:lastPrinted>
  <dcterms:created xsi:type="dcterms:W3CDTF">2021-08-08T23:55:00Z</dcterms:created>
  <dcterms:modified xsi:type="dcterms:W3CDTF">2021-11-05T01:00:00Z</dcterms:modified>
</cp:coreProperties>
</file>