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A75B4" w14:textId="516B90B4" w:rsidR="00E11EE3" w:rsidRPr="0014557D" w:rsidRDefault="00E11EE3" w:rsidP="0014557D">
      <w:pPr>
        <w:pStyle w:val="Heading1"/>
      </w:pPr>
      <w:r w:rsidRPr="0014557D">
        <w:t>IDC Interactive Public Reporting Engine</w:t>
      </w:r>
      <w:r w:rsidR="00E20CC1" w:rsidRPr="0014557D">
        <w:t xml:space="preserve"> User Guide</w:t>
      </w:r>
    </w:p>
    <w:p w14:paraId="26524B9D" w14:textId="5B21B149" w:rsidR="00477698" w:rsidRPr="00F22F5E" w:rsidRDefault="00F22F5E" w:rsidP="000D08D4">
      <w:r w:rsidRPr="00F22F5E">
        <w:rPr>
          <w:rFonts w:cstheme="minorHAnsi"/>
        </w:rPr>
        <w:t xml:space="preserve">The </w:t>
      </w:r>
      <w:r w:rsidRPr="00F22F5E">
        <w:rPr>
          <w:rFonts w:cstheme="minorHAnsi"/>
          <w:i/>
        </w:rPr>
        <w:t>Interactive Public Reporting Engine</w:t>
      </w:r>
      <w:r w:rsidRPr="00F22F5E">
        <w:rPr>
          <w:rFonts w:cstheme="minorHAnsi"/>
        </w:rPr>
        <w:t xml:space="preserve"> uses the IDEA Section 618 data states submit to OSEP to create </w:t>
      </w:r>
      <w:r w:rsidRPr="00F22F5E">
        <w:rPr>
          <w:rFonts w:eastAsia="Times New Roman" w:cstheme="minorHAnsi"/>
          <w:color w:val="030A13"/>
        </w:rPr>
        <w:t>easy-to-read charts and graphs.</w:t>
      </w:r>
      <w:r w:rsidR="000444D2" w:rsidRPr="00F22F5E">
        <w:t xml:space="preserve"> </w:t>
      </w:r>
      <w:r w:rsidR="006D251F">
        <w:t>Links redirect</w:t>
      </w:r>
      <w:r w:rsidR="00477698" w:rsidRPr="00F22F5E">
        <w:t xml:space="preserve"> you away from the IDC website to data display</w:t>
      </w:r>
      <w:r w:rsidR="006D251F">
        <w:t>s</w:t>
      </w:r>
      <w:r w:rsidR="00477698" w:rsidRPr="00F22F5E">
        <w:t xml:space="preserve"> built with </w:t>
      </w:r>
      <w:proofErr w:type="spellStart"/>
      <w:r w:rsidR="00477698" w:rsidRPr="00F22F5E">
        <w:t>ClicData</w:t>
      </w:r>
      <w:proofErr w:type="spellEnd"/>
      <w:r w:rsidR="00477698" w:rsidRPr="00F22F5E">
        <w:t xml:space="preserve">. The data displays are for the following datasets </w:t>
      </w:r>
      <w:r w:rsidR="00EA678E" w:rsidRPr="00F22F5E">
        <w:t xml:space="preserve">that </w:t>
      </w:r>
      <w:r w:rsidR="00477698" w:rsidRPr="00F22F5E">
        <w:t>OSEP</w:t>
      </w:r>
      <w:r w:rsidR="00144637" w:rsidRPr="00F22F5E">
        <w:t xml:space="preserve"> </w:t>
      </w:r>
      <w:hyperlink r:id="rId8" w:tooltip="Link to U.S. Department of Education website" w:history="1">
        <w:r w:rsidR="00144637" w:rsidRPr="00F22F5E">
          <w:rPr>
            <w:rStyle w:val="Hyperlink"/>
          </w:rPr>
          <w:t>publishes</w:t>
        </w:r>
      </w:hyperlink>
      <w:r w:rsidR="00477698" w:rsidRPr="00F22F5E">
        <w:t>:</w:t>
      </w:r>
    </w:p>
    <w:p w14:paraId="1F0C6ED4" w14:textId="54E43878" w:rsidR="0043143D" w:rsidRPr="0043143D" w:rsidRDefault="0043143D" w:rsidP="0043143D">
      <w:pPr>
        <w:spacing w:after="150" w:line="240" w:lineRule="auto"/>
      </w:pPr>
      <w:r w:rsidRPr="0043143D">
        <w:t>Part B</w:t>
      </w:r>
    </w:p>
    <w:p w14:paraId="3B047D7A" w14:textId="77777777" w:rsidR="0043143D" w:rsidRPr="0043143D" w:rsidRDefault="0043143D" w:rsidP="0043143D">
      <w:pPr>
        <w:numPr>
          <w:ilvl w:val="0"/>
          <w:numId w:val="5"/>
        </w:numPr>
        <w:spacing w:after="100" w:afterAutospacing="1" w:line="240" w:lineRule="auto"/>
      </w:pPr>
      <w:r w:rsidRPr="0043143D">
        <w:t xml:space="preserve">Child Count and Educational Environments; </w:t>
      </w:r>
    </w:p>
    <w:p w14:paraId="364E8F95" w14:textId="77777777" w:rsidR="0043143D" w:rsidRPr="0043143D" w:rsidRDefault="0043143D" w:rsidP="0043143D">
      <w:pPr>
        <w:numPr>
          <w:ilvl w:val="0"/>
          <w:numId w:val="5"/>
        </w:numPr>
        <w:spacing w:before="100" w:beforeAutospacing="1" w:after="100" w:afterAutospacing="1" w:line="240" w:lineRule="auto"/>
      </w:pPr>
      <w:r w:rsidRPr="0043143D">
        <w:t xml:space="preserve">Personnel; </w:t>
      </w:r>
    </w:p>
    <w:p w14:paraId="7EE70DEF" w14:textId="77777777" w:rsidR="0043143D" w:rsidRPr="0043143D" w:rsidRDefault="0043143D" w:rsidP="0043143D">
      <w:pPr>
        <w:numPr>
          <w:ilvl w:val="0"/>
          <w:numId w:val="5"/>
        </w:numPr>
        <w:spacing w:before="100" w:beforeAutospacing="1" w:after="100" w:afterAutospacing="1" w:line="240" w:lineRule="auto"/>
      </w:pPr>
      <w:r w:rsidRPr="0043143D">
        <w:t xml:space="preserve">Exiting; </w:t>
      </w:r>
    </w:p>
    <w:p w14:paraId="010E7C9E" w14:textId="77777777" w:rsidR="0043143D" w:rsidRPr="0043143D" w:rsidRDefault="0043143D" w:rsidP="0043143D">
      <w:pPr>
        <w:numPr>
          <w:ilvl w:val="0"/>
          <w:numId w:val="5"/>
        </w:numPr>
        <w:spacing w:before="100" w:beforeAutospacing="1" w:after="100" w:afterAutospacing="1" w:line="240" w:lineRule="auto"/>
      </w:pPr>
      <w:r w:rsidRPr="0043143D">
        <w:t xml:space="preserve">Discipline; </w:t>
      </w:r>
    </w:p>
    <w:p w14:paraId="23CF775E" w14:textId="77777777" w:rsidR="0043143D" w:rsidRPr="0043143D" w:rsidRDefault="0043143D" w:rsidP="0043143D">
      <w:pPr>
        <w:numPr>
          <w:ilvl w:val="0"/>
          <w:numId w:val="5"/>
        </w:numPr>
        <w:spacing w:before="100" w:beforeAutospacing="1" w:after="100" w:afterAutospacing="1" w:line="240" w:lineRule="auto"/>
      </w:pPr>
      <w:r w:rsidRPr="0043143D">
        <w:t xml:space="preserve">Assessment; </w:t>
      </w:r>
    </w:p>
    <w:p w14:paraId="69230CF1" w14:textId="77777777" w:rsidR="0043143D" w:rsidRPr="0043143D" w:rsidRDefault="0043143D" w:rsidP="0043143D">
      <w:pPr>
        <w:numPr>
          <w:ilvl w:val="0"/>
          <w:numId w:val="5"/>
        </w:numPr>
        <w:spacing w:before="100" w:beforeAutospacing="1" w:after="100" w:afterAutospacing="1" w:line="240" w:lineRule="auto"/>
      </w:pPr>
      <w:r w:rsidRPr="0043143D">
        <w:t xml:space="preserve">Dispute Resolution; and </w:t>
      </w:r>
    </w:p>
    <w:p w14:paraId="00B45CF3" w14:textId="77777777" w:rsidR="0043143D" w:rsidRPr="0043143D" w:rsidRDefault="0043143D" w:rsidP="0043143D">
      <w:pPr>
        <w:numPr>
          <w:ilvl w:val="0"/>
          <w:numId w:val="5"/>
        </w:numPr>
        <w:spacing w:before="100" w:beforeAutospacing="1" w:after="100" w:afterAutospacing="1" w:line="240" w:lineRule="auto"/>
      </w:pPr>
      <w:r w:rsidRPr="0043143D">
        <w:t>Maintenance of Effort Reduction and Coordinated Early Intervening Services; and</w:t>
      </w:r>
    </w:p>
    <w:p w14:paraId="225E748D" w14:textId="7462D969" w:rsidR="0043143D" w:rsidRPr="0043143D" w:rsidRDefault="0043143D" w:rsidP="0043143D">
      <w:pPr>
        <w:spacing w:after="150" w:line="240" w:lineRule="auto"/>
      </w:pPr>
      <w:r w:rsidRPr="0043143D">
        <w:t>Part C</w:t>
      </w:r>
    </w:p>
    <w:p w14:paraId="1CAA0763" w14:textId="77777777" w:rsidR="0043143D" w:rsidRPr="0043143D" w:rsidRDefault="0043143D" w:rsidP="0043143D">
      <w:pPr>
        <w:numPr>
          <w:ilvl w:val="0"/>
          <w:numId w:val="5"/>
        </w:numPr>
        <w:spacing w:after="100" w:afterAutospacing="1" w:line="240" w:lineRule="auto"/>
      </w:pPr>
      <w:r w:rsidRPr="0043143D">
        <w:t xml:space="preserve">Child Count and Settings; </w:t>
      </w:r>
    </w:p>
    <w:p w14:paraId="41EA2EDA" w14:textId="77777777" w:rsidR="0043143D" w:rsidRPr="0043143D" w:rsidRDefault="0043143D" w:rsidP="0043143D">
      <w:pPr>
        <w:numPr>
          <w:ilvl w:val="0"/>
          <w:numId w:val="5"/>
        </w:numPr>
        <w:spacing w:before="100" w:beforeAutospacing="1" w:after="100" w:afterAutospacing="1" w:line="240" w:lineRule="auto"/>
      </w:pPr>
      <w:r w:rsidRPr="0043143D">
        <w:t xml:space="preserve">Exiting; and </w:t>
      </w:r>
    </w:p>
    <w:p w14:paraId="50144722" w14:textId="77777777" w:rsidR="0043143D" w:rsidRPr="0043143D" w:rsidRDefault="0043143D" w:rsidP="0043143D">
      <w:pPr>
        <w:numPr>
          <w:ilvl w:val="0"/>
          <w:numId w:val="5"/>
        </w:numPr>
        <w:spacing w:before="100" w:beforeAutospacing="1" w:after="100" w:afterAutospacing="1" w:line="240" w:lineRule="auto"/>
      </w:pPr>
      <w:r w:rsidRPr="0043143D">
        <w:t>Dispute Resolution.</w:t>
      </w:r>
    </w:p>
    <w:p w14:paraId="1E20AFD5" w14:textId="0F3B7687" w:rsidR="000444D2" w:rsidRDefault="004F3840" w:rsidP="000D08D4">
      <w:r>
        <w:t>Each display contains data for individual states and territories as well as national totals, with the exception of the assessment data displays</w:t>
      </w:r>
      <w:r w:rsidR="00EA678E">
        <w:t>.</w:t>
      </w:r>
      <w:r>
        <w:t xml:space="preserve"> </w:t>
      </w:r>
      <w:r w:rsidR="00CC5600">
        <w:t xml:space="preserve">Assessment </w:t>
      </w:r>
      <w:r w:rsidR="00EB2182">
        <w:t xml:space="preserve">data cannot be totaled nationally due to differences in </w:t>
      </w:r>
      <w:r>
        <w:t>assessments</w:t>
      </w:r>
      <w:r w:rsidR="00EA678E">
        <w:t xml:space="preserve"> that states</w:t>
      </w:r>
      <w:r>
        <w:t xml:space="preserve"> use</w:t>
      </w:r>
      <w:r w:rsidR="00EB2182">
        <w:t xml:space="preserve"> </w:t>
      </w:r>
      <w:r w:rsidR="00CC5600">
        <w:t xml:space="preserve">to determine </w:t>
      </w:r>
      <w:r w:rsidR="00EB2182">
        <w:t xml:space="preserve">levels of proficiency. </w:t>
      </w:r>
      <w:r>
        <w:t>This guide provides an overview of the functionality in each data display, including:</w:t>
      </w:r>
    </w:p>
    <w:p w14:paraId="67063BE5" w14:textId="77777777" w:rsidR="004F3840" w:rsidRDefault="004F3840" w:rsidP="00472E1D">
      <w:pPr>
        <w:pStyle w:val="ListParagraph"/>
        <w:numPr>
          <w:ilvl w:val="0"/>
          <w:numId w:val="2"/>
        </w:numPr>
      </w:pPr>
      <w:r>
        <w:t>Changing the selected year and state</w:t>
      </w:r>
    </w:p>
    <w:p w14:paraId="75349EE6" w14:textId="77777777" w:rsidR="004F3840" w:rsidRDefault="004F3840" w:rsidP="00472E1D">
      <w:pPr>
        <w:pStyle w:val="ListParagraph"/>
        <w:numPr>
          <w:ilvl w:val="0"/>
          <w:numId w:val="2"/>
        </w:numPr>
      </w:pPr>
      <w:r>
        <w:t>Accessing data documentation and notes</w:t>
      </w:r>
    </w:p>
    <w:p w14:paraId="7EC0CE2B" w14:textId="77777777" w:rsidR="004F3840" w:rsidRDefault="004F3840" w:rsidP="00472E1D">
      <w:pPr>
        <w:pStyle w:val="ListParagraph"/>
        <w:numPr>
          <w:ilvl w:val="0"/>
          <w:numId w:val="2"/>
        </w:numPr>
      </w:pPr>
      <w:r>
        <w:t>Using dropdown menus to filter data</w:t>
      </w:r>
    </w:p>
    <w:p w14:paraId="45B24820" w14:textId="77777777" w:rsidR="00A70F4F" w:rsidRDefault="004F3840" w:rsidP="00472E1D">
      <w:pPr>
        <w:pStyle w:val="ListParagraph"/>
        <w:numPr>
          <w:ilvl w:val="0"/>
          <w:numId w:val="2"/>
        </w:numPr>
        <w:rPr>
          <w:b/>
          <w:sz w:val="24"/>
        </w:rPr>
      </w:pPr>
      <w:r>
        <w:t>Understanding the meaning of special symbols</w:t>
      </w:r>
    </w:p>
    <w:p w14:paraId="6385BAE1" w14:textId="5C55AE9C" w:rsidR="00E11EE3" w:rsidRPr="0014557D" w:rsidRDefault="00E11EE3" w:rsidP="0014557D">
      <w:pPr>
        <w:pStyle w:val="Heading2"/>
      </w:pPr>
      <w:r w:rsidRPr="0014557D">
        <w:t xml:space="preserve">Changing the </w:t>
      </w:r>
      <w:r w:rsidR="0014557D" w:rsidRPr="0014557D">
        <w:t>S</w:t>
      </w:r>
      <w:r w:rsidRPr="0014557D">
        <w:t xml:space="preserve">elected </w:t>
      </w:r>
      <w:r w:rsidR="0014557D" w:rsidRPr="0014557D">
        <w:t>Y</w:t>
      </w:r>
      <w:r w:rsidRPr="0014557D">
        <w:t xml:space="preserve">ear and </w:t>
      </w:r>
      <w:r w:rsidR="0014557D" w:rsidRPr="0014557D">
        <w:t>S</w:t>
      </w:r>
      <w:r w:rsidRPr="0014557D">
        <w:t>tate</w:t>
      </w:r>
    </w:p>
    <w:p w14:paraId="1C5F3FFA" w14:textId="77777777" w:rsidR="00EB2182" w:rsidRDefault="00E11EE3" w:rsidP="00472E1D">
      <w:r>
        <w:t>At the top right corner of every data display</w:t>
      </w:r>
      <w:r>
        <w:rPr>
          <w:rStyle w:val="FootnoteReference"/>
        </w:rPr>
        <w:footnoteReference w:id="1"/>
      </w:r>
      <w:r>
        <w:t xml:space="preserve"> are two dropdown menus that allow you to select the year and state </w:t>
      </w:r>
      <w:r w:rsidR="00EA678E">
        <w:t>the tool is visualizing</w:t>
      </w:r>
      <w:r>
        <w:t xml:space="preserve">. A sample of the dropdown menus </w:t>
      </w:r>
      <w:r w:rsidR="00EA678E">
        <w:t>follows.</w:t>
      </w:r>
    </w:p>
    <w:p w14:paraId="0D26256D" w14:textId="77777777" w:rsidR="00E11EE3" w:rsidRDefault="00E11EE3" w:rsidP="00472E1D">
      <w:pPr>
        <w:jc w:val="center"/>
      </w:pPr>
      <w:r>
        <w:rPr>
          <w:noProof/>
        </w:rPr>
        <w:drawing>
          <wp:inline distT="0" distB="0" distL="0" distR="0" wp14:anchorId="2293A07F" wp14:editId="1480FB29">
            <wp:extent cx="5276850"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850" cy="704850"/>
                    </a:xfrm>
                    <a:prstGeom prst="rect">
                      <a:avLst/>
                    </a:prstGeom>
                  </pic:spPr>
                </pic:pic>
              </a:graphicData>
            </a:graphic>
          </wp:inline>
        </w:drawing>
      </w:r>
    </w:p>
    <w:p w14:paraId="0B7684A4" w14:textId="77777777" w:rsidR="00A70F4F" w:rsidRDefault="00E11EE3" w:rsidP="00472E1D">
      <w:r>
        <w:lastRenderedPageBreak/>
        <w:t>To change</w:t>
      </w:r>
      <w:r w:rsidR="00A70F4F">
        <w:t xml:space="preserve"> the year of data displayed, use the dropdown </w:t>
      </w:r>
      <w:r w:rsidR="003E0E6E">
        <w:t>option</w:t>
      </w:r>
      <w:r w:rsidR="00EA678E">
        <w:t xml:space="preserve"> </w:t>
      </w:r>
      <w:r w:rsidR="00A70F4F">
        <w:t xml:space="preserve">to the left labeled </w:t>
      </w:r>
      <w:r w:rsidR="00A70F4F" w:rsidRPr="00472E1D">
        <w:rPr>
          <w:b/>
        </w:rPr>
        <w:t>“Select year.”</w:t>
      </w:r>
      <w:r w:rsidR="00A70F4F">
        <w:t xml:space="preserve"> Clicking on the dropdown menu will provide a list of years available for selection, and clicking on one of those years will update the data display based on that selection. </w:t>
      </w:r>
    </w:p>
    <w:p w14:paraId="2D590502" w14:textId="77777777" w:rsidR="0014557D" w:rsidRDefault="00A70F4F" w:rsidP="000D08D4">
      <w:r>
        <w:t xml:space="preserve">Similarly, to change the state displayed, use the dropdown </w:t>
      </w:r>
      <w:r w:rsidR="00FF14DD">
        <w:t>op</w:t>
      </w:r>
      <w:r w:rsidR="003E0E6E">
        <w:t xml:space="preserve">tion </w:t>
      </w:r>
      <w:r>
        <w:t xml:space="preserve">on the right labeled </w:t>
      </w:r>
      <w:r w:rsidRPr="00472E1D">
        <w:rPr>
          <w:b/>
        </w:rPr>
        <w:t>“Select state.”</w:t>
      </w:r>
      <w:r>
        <w:t xml:space="preserve"> Clicking on the dropdown menu will provide a list of states available for selection, and clicking on one of those states will update the data display based on that selection.</w:t>
      </w:r>
    </w:p>
    <w:p w14:paraId="5CCB4A56" w14:textId="6FE155D4" w:rsidR="00A70F4F" w:rsidRPr="0014557D" w:rsidRDefault="00A70F4F" w:rsidP="000D08D4">
      <w:pPr>
        <w:rPr>
          <w:color w:val="065D8B"/>
          <w:sz w:val="28"/>
          <w:szCs w:val="30"/>
        </w:rPr>
      </w:pPr>
      <w:r w:rsidRPr="0014557D">
        <w:rPr>
          <w:color w:val="065D8B"/>
          <w:sz w:val="28"/>
          <w:szCs w:val="30"/>
        </w:rPr>
        <w:t xml:space="preserve">Accessing </w:t>
      </w:r>
      <w:r w:rsidR="0014557D">
        <w:rPr>
          <w:color w:val="065D8B"/>
          <w:sz w:val="28"/>
          <w:szCs w:val="30"/>
        </w:rPr>
        <w:t>D</w:t>
      </w:r>
      <w:r w:rsidRPr="0014557D">
        <w:rPr>
          <w:color w:val="065D8B"/>
          <w:sz w:val="28"/>
          <w:szCs w:val="30"/>
        </w:rPr>
        <w:t xml:space="preserve">ata </w:t>
      </w:r>
      <w:r w:rsidR="0014557D">
        <w:rPr>
          <w:color w:val="065D8B"/>
          <w:sz w:val="28"/>
          <w:szCs w:val="30"/>
        </w:rPr>
        <w:t>D</w:t>
      </w:r>
      <w:r w:rsidRPr="0014557D">
        <w:rPr>
          <w:color w:val="065D8B"/>
          <w:sz w:val="28"/>
          <w:szCs w:val="30"/>
        </w:rPr>
        <w:t xml:space="preserve">ocumentation and </w:t>
      </w:r>
      <w:r w:rsidR="0014557D">
        <w:rPr>
          <w:color w:val="065D8B"/>
          <w:sz w:val="28"/>
          <w:szCs w:val="30"/>
        </w:rPr>
        <w:t>N</w:t>
      </w:r>
      <w:r w:rsidRPr="0014557D">
        <w:rPr>
          <w:color w:val="065D8B"/>
          <w:sz w:val="28"/>
          <w:szCs w:val="30"/>
        </w:rPr>
        <w:t>otes</w:t>
      </w:r>
    </w:p>
    <w:p w14:paraId="7DEFBF5F" w14:textId="2B776DA6" w:rsidR="00C80CC0" w:rsidRDefault="00A70F4F" w:rsidP="00472E1D">
      <w:r>
        <w:t>In addition to providing dropdown menus for changing the year and state of the data displayed, the top right of each data display also includes a link to</w:t>
      </w:r>
      <w:r w:rsidR="00C80CC0">
        <w:t xml:space="preserve"> data documentation and notes</w:t>
      </w:r>
      <w:r w:rsidR="00304163">
        <w:t>, which</w:t>
      </w:r>
      <w:r w:rsidR="00CC5600">
        <w:t xml:space="preserve"> </w:t>
      </w:r>
      <w:r w:rsidR="00C80CC0">
        <w:t xml:space="preserve">include information about what each dataset </w:t>
      </w:r>
      <w:r w:rsidR="00AD0EC9">
        <w:t xml:space="preserve">contains </w:t>
      </w:r>
      <w:r w:rsidR="00C80CC0">
        <w:t xml:space="preserve">as well as explanatory notes from states. </w:t>
      </w:r>
      <w:r w:rsidR="00A3335B">
        <w:t>Users should review the documentation to ensure they are able to interpret the data correctly.</w:t>
      </w:r>
      <w:r w:rsidR="00A3335B" w:rsidDel="00A3335B">
        <w:t xml:space="preserve"> </w:t>
      </w:r>
    </w:p>
    <w:p w14:paraId="748620DD" w14:textId="245A98C7" w:rsidR="0014557D" w:rsidRDefault="00C80CC0" w:rsidP="000D08D4">
      <w:pPr>
        <w:rPr>
          <w:rStyle w:val="Hyperlink"/>
          <w:color w:val="auto"/>
          <w:u w:val="none"/>
        </w:rPr>
      </w:pPr>
      <w:r>
        <w:t xml:space="preserve">To access the link directly from a data display, double click on the text labeled </w:t>
      </w:r>
      <w:r w:rsidRPr="00472E1D">
        <w:rPr>
          <w:b/>
        </w:rPr>
        <w:t>“Double-click for state data documentation and notes”</w:t>
      </w:r>
      <w:r>
        <w:t xml:space="preserve"> beneath the dropdown </w:t>
      </w:r>
      <w:r w:rsidR="003E0E6E">
        <w:t>options</w:t>
      </w:r>
      <w:r>
        <w:t>.</w:t>
      </w:r>
      <w:r w:rsidR="00EB2182">
        <w:t xml:space="preserve"> </w:t>
      </w:r>
      <w:r>
        <w:t xml:space="preserve">Alternatively, you may access the documentation directly by clicking the following link: </w:t>
      </w:r>
      <w:hyperlink r:id="rId10" w:tooltip="Link to U.S. Department of Education website" w:history="1">
        <w:r w:rsidR="00EB2182" w:rsidRPr="00AC2AD2">
          <w:rPr>
            <w:rStyle w:val="Hyperlink"/>
          </w:rPr>
          <w:t>https://www2.ed.gov/programs/osepidea/618-data/collection-documentation/index.html</w:t>
        </w:r>
      </w:hyperlink>
      <w:r w:rsidRPr="00472E1D">
        <w:rPr>
          <w:rStyle w:val="Hyperlink"/>
          <w:color w:val="auto"/>
          <w:u w:val="none"/>
        </w:rPr>
        <w:t>.</w:t>
      </w:r>
    </w:p>
    <w:p w14:paraId="718DA28F" w14:textId="24D5F0DA" w:rsidR="00EB2182" w:rsidRPr="0014557D" w:rsidRDefault="00C80CC0" w:rsidP="000D08D4">
      <w:pPr>
        <w:rPr>
          <w:color w:val="065D8B"/>
          <w:sz w:val="28"/>
          <w:szCs w:val="30"/>
        </w:rPr>
      </w:pPr>
      <w:r w:rsidRPr="0014557D">
        <w:rPr>
          <w:color w:val="065D8B"/>
          <w:sz w:val="28"/>
          <w:szCs w:val="30"/>
        </w:rPr>
        <w:t xml:space="preserve">Using </w:t>
      </w:r>
      <w:r w:rsidR="0014557D">
        <w:rPr>
          <w:color w:val="065D8B"/>
          <w:sz w:val="28"/>
          <w:szCs w:val="30"/>
        </w:rPr>
        <w:t>D</w:t>
      </w:r>
      <w:r w:rsidRPr="0014557D">
        <w:rPr>
          <w:color w:val="065D8B"/>
          <w:sz w:val="28"/>
          <w:szCs w:val="30"/>
        </w:rPr>
        <w:t xml:space="preserve">ropdown </w:t>
      </w:r>
      <w:r w:rsidR="0014557D">
        <w:rPr>
          <w:color w:val="065D8B"/>
          <w:sz w:val="28"/>
          <w:szCs w:val="30"/>
        </w:rPr>
        <w:t>M</w:t>
      </w:r>
      <w:r w:rsidRPr="0014557D">
        <w:rPr>
          <w:color w:val="065D8B"/>
          <w:sz w:val="28"/>
          <w:szCs w:val="30"/>
        </w:rPr>
        <w:t xml:space="preserve">enus to </w:t>
      </w:r>
      <w:r w:rsidR="0014557D">
        <w:rPr>
          <w:color w:val="065D8B"/>
          <w:sz w:val="28"/>
          <w:szCs w:val="30"/>
        </w:rPr>
        <w:t>F</w:t>
      </w:r>
      <w:r w:rsidRPr="0014557D">
        <w:rPr>
          <w:color w:val="065D8B"/>
          <w:sz w:val="28"/>
          <w:szCs w:val="30"/>
        </w:rPr>
        <w:t xml:space="preserve">ilter </w:t>
      </w:r>
      <w:r w:rsidR="0014557D">
        <w:rPr>
          <w:color w:val="065D8B"/>
          <w:sz w:val="28"/>
          <w:szCs w:val="30"/>
        </w:rPr>
        <w:t>D</w:t>
      </w:r>
      <w:r w:rsidRPr="0014557D">
        <w:rPr>
          <w:color w:val="065D8B"/>
          <w:sz w:val="28"/>
          <w:szCs w:val="30"/>
        </w:rPr>
        <w:t>ata</w:t>
      </w:r>
    </w:p>
    <w:p w14:paraId="61A23C50" w14:textId="77777777" w:rsidR="00472E1D" w:rsidRDefault="00C80CC0" w:rsidP="000D08D4">
      <w:r>
        <w:t xml:space="preserve">Aside from the year and state dropdown menus at the top right, data displays may also contain additional dropdown menus at different positions to allow for additional filtering of the data. </w:t>
      </w:r>
      <w:r w:rsidR="00472E1D">
        <w:t xml:space="preserve">These filters work in conjunction with the year and state dropdowns at the top of each data display. </w:t>
      </w:r>
    </w:p>
    <w:p w14:paraId="27F0A65A" w14:textId="2C6A949D" w:rsidR="00C80CC0" w:rsidRDefault="00C80CC0" w:rsidP="000D08D4">
      <w:r>
        <w:t xml:space="preserve">For example, the Part B: Exiting data dashboard allows users to update </w:t>
      </w:r>
      <w:r w:rsidR="00A3335B">
        <w:t>the following set of charts and tables</w:t>
      </w:r>
      <w:r>
        <w:t xml:space="preserve"> based on the selected reason for exit:</w:t>
      </w:r>
    </w:p>
    <w:p w14:paraId="562A83A4" w14:textId="77777777" w:rsidR="00C80CC0" w:rsidRDefault="00472E1D" w:rsidP="000D08D4">
      <w:r>
        <w:rPr>
          <w:noProof/>
        </w:rPr>
        <w:drawing>
          <wp:inline distT="0" distB="0" distL="0" distR="0" wp14:anchorId="33301143" wp14:editId="5613081D">
            <wp:extent cx="5943600" cy="25469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546985"/>
                    </a:xfrm>
                    <a:prstGeom prst="rect">
                      <a:avLst/>
                    </a:prstGeom>
                  </pic:spPr>
                </pic:pic>
              </a:graphicData>
            </a:graphic>
          </wp:inline>
        </w:drawing>
      </w:r>
    </w:p>
    <w:p w14:paraId="21E98034" w14:textId="77777777" w:rsidR="00103D23" w:rsidRDefault="00103D23">
      <w:r>
        <w:br w:type="page"/>
      </w:r>
    </w:p>
    <w:p w14:paraId="38090637" w14:textId="30AE185D" w:rsidR="00C80CC0" w:rsidRDefault="00C80CC0" w:rsidP="000D08D4">
      <w:r>
        <w:lastRenderedPageBreak/>
        <w:t xml:space="preserve">Clicking on the dropdown labeled </w:t>
      </w:r>
      <w:r>
        <w:rPr>
          <w:b/>
        </w:rPr>
        <w:t>“Select reason for exit”</w:t>
      </w:r>
      <w:r>
        <w:t xml:space="preserve"> will display a list of options for additional filtering.</w:t>
      </w:r>
      <w:r w:rsidR="00472E1D">
        <w:t xml:space="preserve"> For example, changing the selected reason from “Graduated with a regular high school diploma and received a certificate” in the </w:t>
      </w:r>
      <w:r w:rsidR="003E0E6E">
        <w:t xml:space="preserve">preceding </w:t>
      </w:r>
      <w:r w:rsidR="00472E1D">
        <w:t>screenshot to “Total exiting special education” will update the data in the charts and tables below the filter, resulting in the following:</w:t>
      </w:r>
    </w:p>
    <w:p w14:paraId="4D404B70" w14:textId="77777777" w:rsidR="00472E1D" w:rsidRDefault="00472E1D" w:rsidP="00103D23">
      <w:pPr>
        <w:spacing w:after="360"/>
      </w:pPr>
      <w:r>
        <w:rPr>
          <w:noProof/>
        </w:rPr>
        <w:drawing>
          <wp:inline distT="0" distB="0" distL="0" distR="0" wp14:anchorId="332B1308" wp14:editId="1685F339">
            <wp:extent cx="5943600" cy="25279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527935"/>
                    </a:xfrm>
                    <a:prstGeom prst="rect">
                      <a:avLst/>
                    </a:prstGeom>
                  </pic:spPr>
                </pic:pic>
              </a:graphicData>
            </a:graphic>
          </wp:inline>
        </w:drawing>
      </w:r>
    </w:p>
    <w:p w14:paraId="71266E8E" w14:textId="50ADD2CD" w:rsidR="00472E1D" w:rsidRDefault="00472E1D" w:rsidP="00560273">
      <w:r>
        <w:t xml:space="preserve">Furthermore, in some cases, there may be multiple dropdowns that work in conjunction with each other. For example, the three dropdown menus – </w:t>
      </w:r>
      <w:r>
        <w:rPr>
          <w:b/>
        </w:rPr>
        <w:t xml:space="preserve">“Select reason for exit,” “Select disability,” and “Select demographic” </w:t>
      </w:r>
      <w:r>
        <w:t xml:space="preserve">– in the </w:t>
      </w:r>
      <w:r w:rsidR="003E0E6E">
        <w:t xml:space="preserve">following </w:t>
      </w:r>
      <w:r>
        <w:t xml:space="preserve">screenshot work together to filter the data in the bar chart below it. </w:t>
      </w:r>
      <w:r w:rsidR="00393DA6">
        <w:rPr>
          <w:noProof/>
        </w:rPr>
        <w:drawing>
          <wp:inline distT="0" distB="0" distL="0" distR="0" wp14:anchorId="2A2976A9" wp14:editId="726CBD79">
            <wp:extent cx="5943600" cy="26257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625725"/>
                    </a:xfrm>
                    <a:prstGeom prst="rect">
                      <a:avLst/>
                    </a:prstGeom>
                  </pic:spPr>
                </pic:pic>
              </a:graphicData>
            </a:graphic>
          </wp:inline>
        </w:drawing>
      </w:r>
    </w:p>
    <w:p w14:paraId="662657D4" w14:textId="77777777" w:rsidR="00103D23" w:rsidRDefault="00103D23">
      <w:r>
        <w:br w:type="page"/>
      </w:r>
    </w:p>
    <w:p w14:paraId="6A6C27E8" w14:textId="436DCB8A" w:rsidR="00472E1D" w:rsidRDefault="00472E1D" w:rsidP="00472E1D">
      <w:r>
        <w:lastRenderedPageBreak/>
        <w:t xml:space="preserve">Users can view the data for “Total exiting special education” or other </w:t>
      </w:r>
      <w:r w:rsidR="009159AB">
        <w:t xml:space="preserve">exiting </w:t>
      </w:r>
      <w:r>
        <w:t>reason by different combinations of disability and demographic</w:t>
      </w:r>
      <w:r w:rsidR="009159AB">
        <w:t>s</w:t>
      </w:r>
      <w:r>
        <w:t xml:space="preserve"> by making different selections. For example, to view the “All Disabilities” data by “English Learner Status,” change the</w:t>
      </w:r>
      <w:r w:rsidR="009159AB">
        <w:t xml:space="preserve"> demographic in the</w:t>
      </w:r>
      <w:r>
        <w:t xml:space="preserve"> </w:t>
      </w:r>
      <w:r>
        <w:rPr>
          <w:b/>
        </w:rPr>
        <w:t>“Select demographic”</w:t>
      </w:r>
      <w:r>
        <w:t xml:space="preserve"> dropdown </w:t>
      </w:r>
      <w:r w:rsidR="009159AB">
        <w:t xml:space="preserve">menu </w:t>
      </w:r>
      <w:r>
        <w:t xml:space="preserve">to “English Learner Status,” as shown </w:t>
      </w:r>
      <w:r w:rsidR="009159AB">
        <w:t>in the following display</w:t>
      </w:r>
      <w:r>
        <w:t>:</w:t>
      </w:r>
    </w:p>
    <w:p w14:paraId="5601C3DA" w14:textId="1E0FDFBC" w:rsidR="006D251F" w:rsidRDefault="006D251F" w:rsidP="00103D23">
      <w:pPr>
        <w:spacing w:after="360"/>
      </w:pPr>
      <w:r>
        <w:rPr>
          <w:noProof/>
        </w:rPr>
        <w:drawing>
          <wp:inline distT="0" distB="0" distL="0" distR="0" wp14:anchorId="6206F2E1" wp14:editId="4A05FCAE">
            <wp:extent cx="5943600" cy="26073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07310"/>
                    </a:xfrm>
                    <a:prstGeom prst="rect">
                      <a:avLst/>
                    </a:prstGeom>
                  </pic:spPr>
                </pic:pic>
              </a:graphicData>
            </a:graphic>
          </wp:inline>
        </w:drawing>
      </w:r>
    </w:p>
    <w:p w14:paraId="11D74A47" w14:textId="6AE80358" w:rsidR="00472E1D" w:rsidRPr="0014557D" w:rsidRDefault="0014557D" w:rsidP="00472E1D">
      <w:pPr>
        <w:rPr>
          <w:color w:val="065D8B"/>
          <w:sz w:val="28"/>
          <w:szCs w:val="30"/>
        </w:rPr>
      </w:pPr>
      <w:r>
        <w:rPr>
          <w:color w:val="065D8B"/>
          <w:sz w:val="28"/>
          <w:szCs w:val="30"/>
        </w:rPr>
        <w:t>Understanding the M</w:t>
      </w:r>
      <w:r w:rsidR="00472E1D" w:rsidRPr="0014557D">
        <w:rPr>
          <w:color w:val="065D8B"/>
          <w:sz w:val="28"/>
          <w:szCs w:val="30"/>
        </w:rPr>
        <w:t xml:space="preserve">eaning of </w:t>
      </w:r>
      <w:r>
        <w:rPr>
          <w:color w:val="065D8B"/>
          <w:sz w:val="28"/>
          <w:szCs w:val="30"/>
        </w:rPr>
        <w:t>S</w:t>
      </w:r>
      <w:r w:rsidR="00472E1D" w:rsidRPr="0014557D">
        <w:rPr>
          <w:color w:val="065D8B"/>
          <w:sz w:val="28"/>
          <w:szCs w:val="30"/>
        </w:rPr>
        <w:t xml:space="preserve">pecial </w:t>
      </w:r>
      <w:r>
        <w:rPr>
          <w:color w:val="065D8B"/>
          <w:sz w:val="28"/>
          <w:szCs w:val="30"/>
        </w:rPr>
        <w:t>S</w:t>
      </w:r>
      <w:r w:rsidR="00472E1D" w:rsidRPr="0014557D">
        <w:rPr>
          <w:color w:val="065D8B"/>
          <w:sz w:val="28"/>
          <w:szCs w:val="30"/>
        </w:rPr>
        <w:t>ymbols</w:t>
      </w:r>
    </w:p>
    <w:p w14:paraId="0B492F3B" w14:textId="77777777" w:rsidR="00CD7A6F" w:rsidRDefault="005E1627" w:rsidP="000D08D4">
      <w:r>
        <w:t>Occasionally, the data display may show one or more of the following symbols:</w:t>
      </w:r>
    </w:p>
    <w:p w14:paraId="11A5AF12" w14:textId="77777777" w:rsidR="005E1627" w:rsidRDefault="005E1627" w:rsidP="005E1627">
      <w:r w:rsidRPr="005E1627">
        <w:rPr>
          <w:b/>
        </w:rPr>
        <w:t>- (Data not available):</w:t>
      </w:r>
      <w:r>
        <w:t xml:space="preserve"> Data for a particular combination of filter selections is not part of the dataset or is not available.</w:t>
      </w:r>
    </w:p>
    <w:p w14:paraId="1C3A07B4" w14:textId="2E458A38" w:rsidR="005E1627" w:rsidRDefault="00BD7999" w:rsidP="005E1627">
      <w:r>
        <w:t>&lt;=</w:t>
      </w:r>
      <w:r w:rsidR="000F3BBC">
        <w:t xml:space="preserve"> </w:t>
      </w:r>
      <w:r w:rsidR="005E1627" w:rsidRPr="005E1627">
        <w:rPr>
          <w:b/>
        </w:rPr>
        <w:t xml:space="preserve">3 (Data suppressed due to small cell size): </w:t>
      </w:r>
      <w:r w:rsidR="00304163" w:rsidRPr="0043143D">
        <w:t>OSEP suppressed the data point</w:t>
      </w:r>
      <w:r w:rsidR="0043143D">
        <w:t xml:space="preserve"> </w:t>
      </w:r>
      <w:r w:rsidR="005E1627">
        <w:t>to protect privacy because the cell count is 3 or fewer, which could allow for identification of individuals.</w:t>
      </w:r>
      <w:r w:rsidR="00304163">
        <w:t xml:space="preserve"> This symbol is used only in the assessment data set.</w:t>
      </w:r>
      <w:bookmarkStart w:id="0" w:name="_GoBack"/>
      <w:bookmarkEnd w:id="0"/>
    </w:p>
    <w:p w14:paraId="794646C6" w14:textId="50A78CB1" w:rsidR="005E1627" w:rsidRDefault="005E1627" w:rsidP="005E1627">
      <w:r w:rsidRPr="005E1627">
        <w:rPr>
          <w:b/>
        </w:rPr>
        <w:t>x (Data suppressed due to small cell size):</w:t>
      </w:r>
      <w:r>
        <w:rPr>
          <w:b/>
        </w:rPr>
        <w:t xml:space="preserve"> </w:t>
      </w:r>
      <w:r w:rsidR="0043143D" w:rsidRPr="0043143D">
        <w:t>OSEP suppressed the data point</w:t>
      </w:r>
      <w:r w:rsidR="0043143D">
        <w:t xml:space="preserve"> to protect privacy </w:t>
      </w:r>
      <w:r>
        <w:t>because the cell count is below the reporting threshold, which could allow for identification of individuals.</w:t>
      </w:r>
      <w:r w:rsidR="00304163">
        <w:t xml:space="preserve"> This is the suppression symbol used in all files except for assessment.</w:t>
      </w:r>
    </w:p>
    <w:p w14:paraId="18161796" w14:textId="7C76DD49" w:rsidR="005E1627" w:rsidRPr="005E1627" w:rsidRDefault="005E1627" w:rsidP="005E1627">
      <w:r w:rsidRPr="005E1627">
        <w:rPr>
          <w:b/>
        </w:rPr>
        <w:t xml:space="preserve">* (Data suppressed for data quality): </w:t>
      </w:r>
      <w:r w:rsidR="00304163" w:rsidRPr="0043143D">
        <w:t xml:space="preserve"> OSEP suppressed the data not for privacy</w:t>
      </w:r>
      <w:r w:rsidR="0043143D">
        <w:t>,</w:t>
      </w:r>
      <w:r w:rsidR="00304163" w:rsidRPr="0043143D">
        <w:t xml:space="preserve"> but because of concerns about the quality of the data </w:t>
      </w:r>
      <w:r w:rsidR="0043143D">
        <w:t>the state submitted to OSEP</w:t>
      </w:r>
      <w:r w:rsidR="00304163" w:rsidRPr="0043143D">
        <w:t>.</w:t>
      </w:r>
      <w:r w:rsidR="00304163" w:rsidRPr="00304163" w:rsidDel="00304163">
        <w:t xml:space="preserve"> </w:t>
      </w:r>
    </w:p>
    <w:sectPr w:rsidR="005E1627" w:rsidRPr="005E1627" w:rsidSect="00B56BFE">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8FE1E" w14:textId="77777777" w:rsidR="00CA5D16" w:rsidRDefault="00CA5D16" w:rsidP="00E11EE3">
      <w:pPr>
        <w:spacing w:after="0" w:line="240" w:lineRule="auto"/>
      </w:pPr>
      <w:r>
        <w:separator/>
      </w:r>
    </w:p>
  </w:endnote>
  <w:endnote w:type="continuationSeparator" w:id="0">
    <w:p w14:paraId="3F2FE3BE" w14:textId="77777777" w:rsidR="00CA5D16" w:rsidRDefault="00CA5D16" w:rsidP="00E1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94377" w14:textId="151C4898" w:rsidR="00B56BFE" w:rsidRPr="00B56BFE" w:rsidRDefault="00CA5D16" w:rsidP="00B56BFE">
    <w:pPr>
      <w:pStyle w:val="Footer"/>
      <w:tabs>
        <w:tab w:val="clear" w:pos="4680"/>
        <w:tab w:val="clear" w:pos="9360"/>
        <w:tab w:val="right" w:pos="10080"/>
      </w:tabs>
      <w:spacing w:line="280" w:lineRule="atLeast"/>
      <w:rPr>
        <w:b/>
        <w:noProof/>
        <w:color w:val="4D4D4F"/>
        <w:sz w:val="18"/>
        <w:szCs w:val="18"/>
      </w:rPr>
    </w:pPr>
    <w:hyperlink r:id="rId1" w:history="1">
      <w:r w:rsidR="00B56BFE" w:rsidRPr="00B56BFE">
        <w:rPr>
          <w:b/>
          <w:noProof/>
          <w:color w:val="4D4D4F"/>
          <w:sz w:val="18"/>
          <w:szCs w:val="18"/>
        </w:rPr>
        <w:t>www.ideadata.org</w:t>
      </w:r>
    </w:hyperlink>
    <w:r w:rsidR="00B56BFE" w:rsidRPr="00B56BFE">
      <w:rPr>
        <w:b/>
        <w:noProof/>
        <w:color w:val="4D4D4F"/>
        <w:sz w:val="18"/>
        <w:szCs w:val="18"/>
      </w:rPr>
      <w:tab/>
    </w:r>
    <w:r w:rsidR="00B56BFE" w:rsidRPr="00B56BFE">
      <w:rPr>
        <w:b/>
        <w:noProof/>
        <w:color w:val="4D4D4F"/>
        <w:sz w:val="18"/>
        <w:szCs w:val="18"/>
      </w:rPr>
      <w:fldChar w:fldCharType="begin"/>
    </w:r>
    <w:r w:rsidR="00B56BFE" w:rsidRPr="00B56BFE">
      <w:rPr>
        <w:b/>
        <w:noProof/>
        <w:color w:val="4D4D4F"/>
        <w:sz w:val="18"/>
        <w:szCs w:val="18"/>
      </w:rPr>
      <w:instrText xml:space="preserve"> PAGE   \* MERGEFORMAT </w:instrText>
    </w:r>
    <w:r w:rsidR="00B56BFE" w:rsidRPr="00B56BFE">
      <w:rPr>
        <w:b/>
        <w:noProof/>
        <w:color w:val="4D4D4F"/>
        <w:sz w:val="18"/>
        <w:szCs w:val="18"/>
      </w:rPr>
      <w:fldChar w:fldCharType="separate"/>
    </w:r>
    <w:r w:rsidR="00BD7999">
      <w:rPr>
        <w:b/>
        <w:noProof/>
        <w:color w:val="4D4D4F"/>
        <w:sz w:val="18"/>
        <w:szCs w:val="18"/>
      </w:rPr>
      <w:t>4</w:t>
    </w:r>
    <w:r w:rsidR="00B56BFE" w:rsidRPr="00B56BFE">
      <w:rPr>
        <w:b/>
        <w:noProof/>
        <w:color w:val="4D4D4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A2C8E" w14:textId="77777777" w:rsidR="00CA5D16" w:rsidRDefault="00CA5D16" w:rsidP="00E11EE3">
      <w:pPr>
        <w:spacing w:after="0" w:line="240" w:lineRule="auto"/>
      </w:pPr>
      <w:r>
        <w:separator/>
      </w:r>
    </w:p>
  </w:footnote>
  <w:footnote w:type="continuationSeparator" w:id="0">
    <w:p w14:paraId="04689889" w14:textId="77777777" w:rsidR="00CA5D16" w:rsidRDefault="00CA5D16" w:rsidP="00E11EE3">
      <w:pPr>
        <w:spacing w:after="0" w:line="240" w:lineRule="auto"/>
      </w:pPr>
      <w:r>
        <w:continuationSeparator/>
      </w:r>
    </w:p>
  </w:footnote>
  <w:footnote w:id="1">
    <w:p w14:paraId="04E014FB" w14:textId="5A6C3C50" w:rsidR="00E11EE3" w:rsidRDefault="00E11EE3">
      <w:pPr>
        <w:pStyle w:val="FootnoteText"/>
      </w:pPr>
      <w:r>
        <w:rPr>
          <w:rStyle w:val="FootnoteReference"/>
        </w:rPr>
        <w:footnoteRef/>
      </w:r>
      <w:r w:rsidR="00A963D9">
        <w:t xml:space="preserve"> Due to differences in a</w:t>
      </w:r>
      <w:r>
        <w:t xml:space="preserve">ssessment data </w:t>
      </w:r>
      <w:r w:rsidR="00A963D9">
        <w:t xml:space="preserve">file structure </w:t>
      </w:r>
      <w:r>
        <w:t xml:space="preserve">across years, </w:t>
      </w:r>
      <w:r w:rsidR="003E0E6E">
        <w:t xml:space="preserve">the tool reports </w:t>
      </w:r>
      <w:r>
        <w:t>data for each school year (2013</w:t>
      </w:r>
      <w:r w:rsidR="00B56BFE">
        <w:t>–</w:t>
      </w:r>
      <w:r>
        <w:t>14, 2014</w:t>
      </w:r>
      <w:r w:rsidR="00B56BFE">
        <w:t>–</w:t>
      </w:r>
      <w:r>
        <w:t>15, and 2015</w:t>
      </w:r>
      <w:r w:rsidR="00B56BFE">
        <w:t>–</w:t>
      </w:r>
      <w:r>
        <w:t>16) in three separate data displays. Therefore, these displays do not include the option to change the year of data displayed.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F4C38" w14:textId="77777777" w:rsidR="0014557D" w:rsidRPr="0014557D" w:rsidRDefault="0014557D" w:rsidP="0014557D">
    <w:pPr>
      <w:pStyle w:val="Header"/>
      <w:pBdr>
        <w:bottom w:val="single" w:sz="4" w:space="8" w:color="auto"/>
      </w:pBdr>
      <w:rPr>
        <w:sz w:val="18"/>
        <w:szCs w:val="18"/>
      </w:rPr>
    </w:pPr>
    <w:r>
      <w:rPr>
        <w:sz w:val="18"/>
        <w:szCs w:val="18"/>
      </w:rPr>
      <w:t>Interactive Engine Users Guide</w:t>
    </w:r>
  </w:p>
  <w:p w14:paraId="424BCDBF" w14:textId="77777777" w:rsidR="0014557D" w:rsidRDefault="0014557D">
    <w:pPr>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7E76"/>
    <w:multiLevelType w:val="hybridMultilevel"/>
    <w:tmpl w:val="67ACB2C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20D42D83"/>
    <w:multiLevelType w:val="hybridMultilevel"/>
    <w:tmpl w:val="58C26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B15"/>
    <w:multiLevelType w:val="hybridMultilevel"/>
    <w:tmpl w:val="A94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523DD"/>
    <w:multiLevelType w:val="hybridMultilevel"/>
    <w:tmpl w:val="3DCAF7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1F30A8"/>
    <w:multiLevelType w:val="hybridMultilevel"/>
    <w:tmpl w:val="B5309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D4"/>
    <w:rsid w:val="0000126E"/>
    <w:rsid w:val="00035388"/>
    <w:rsid w:val="000444D2"/>
    <w:rsid w:val="0005505F"/>
    <w:rsid w:val="00091185"/>
    <w:rsid w:val="000D08D4"/>
    <w:rsid w:val="000F3BBC"/>
    <w:rsid w:val="000F3E2B"/>
    <w:rsid w:val="00103D23"/>
    <w:rsid w:val="00144637"/>
    <w:rsid w:val="0014557D"/>
    <w:rsid w:val="00152FB3"/>
    <w:rsid w:val="001F49D2"/>
    <w:rsid w:val="002F65D0"/>
    <w:rsid w:val="00304163"/>
    <w:rsid w:val="00356287"/>
    <w:rsid w:val="00370C2D"/>
    <w:rsid w:val="00393DA6"/>
    <w:rsid w:val="003D3A29"/>
    <w:rsid w:val="003E0E6E"/>
    <w:rsid w:val="0043143D"/>
    <w:rsid w:val="0044365F"/>
    <w:rsid w:val="00467EA9"/>
    <w:rsid w:val="00472E1D"/>
    <w:rsid w:val="00477698"/>
    <w:rsid w:val="004F21D6"/>
    <w:rsid w:val="004F3840"/>
    <w:rsid w:val="00511037"/>
    <w:rsid w:val="00560273"/>
    <w:rsid w:val="005A0A6D"/>
    <w:rsid w:val="005E1627"/>
    <w:rsid w:val="00625EE2"/>
    <w:rsid w:val="00655C4A"/>
    <w:rsid w:val="006D251F"/>
    <w:rsid w:val="00714CAC"/>
    <w:rsid w:val="007526FA"/>
    <w:rsid w:val="007A7A6F"/>
    <w:rsid w:val="008071FB"/>
    <w:rsid w:val="0086799A"/>
    <w:rsid w:val="008D454C"/>
    <w:rsid w:val="009159AB"/>
    <w:rsid w:val="009B6ED6"/>
    <w:rsid w:val="00A3335B"/>
    <w:rsid w:val="00A70F4F"/>
    <w:rsid w:val="00A73E4F"/>
    <w:rsid w:val="00A746C1"/>
    <w:rsid w:val="00A928B6"/>
    <w:rsid w:val="00A9448B"/>
    <w:rsid w:val="00A963D9"/>
    <w:rsid w:val="00AD0EC9"/>
    <w:rsid w:val="00B27DA2"/>
    <w:rsid w:val="00B37F26"/>
    <w:rsid w:val="00B56BFE"/>
    <w:rsid w:val="00BD7999"/>
    <w:rsid w:val="00C071C9"/>
    <w:rsid w:val="00C80CC0"/>
    <w:rsid w:val="00CA5D16"/>
    <w:rsid w:val="00CC5600"/>
    <w:rsid w:val="00CD7A6F"/>
    <w:rsid w:val="00D02337"/>
    <w:rsid w:val="00D60B79"/>
    <w:rsid w:val="00E11EE3"/>
    <w:rsid w:val="00E20CC1"/>
    <w:rsid w:val="00EA678E"/>
    <w:rsid w:val="00EB2182"/>
    <w:rsid w:val="00F22F5E"/>
    <w:rsid w:val="00F65680"/>
    <w:rsid w:val="00F821B4"/>
    <w:rsid w:val="00F94F80"/>
    <w:rsid w:val="00FF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5EC"/>
  <w15:chartTrackingRefBased/>
  <w15:docId w15:val="{6A8254D1-F0FE-4D35-8E18-B99E3929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Chap. Head"/>
    <w:basedOn w:val="Normal"/>
    <w:link w:val="Heading1Char"/>
    <w:qFormat/>
    <w:rsid w:val="0014557D"/>
    <w:pPr>
      <w:pBdr>
        <w:bottom w:val="single" w:sz="48" w:space="4" w:color="105D89"/>
      </w:pBdr>
      <w:kinsoku w:val="0"/>
      <w:overflowPunct w:val="0"/>
      <w:autoSpaceDE w:val="0"/>
      <w:autoSpaceDN w:val="0"/>
      <w:adjustRightInd w:val="0"/>
      <w:spacing w:after="400" w:line="480" w:lineRule="exact"/>
      <w:ind w:left="14"/>
      <w:outlineLvl w:val="0"/>
    </w:pPr>
    <w:rPr>
      <w:rFonts w:eastAsia="Calibri" w:cs="Myriad Pro"/>
      <w:b/>
      <w:bCs/>
      <w:color w:val="118577"/>
      <w:spacing w:val="-1"/>
      <w:w w:val="110"/>
      <w:sz w:val="40"/>
      <w:szCs w:val="40"/>
    </w:rPr>
  </w:style>
  <w:style w:type="paragraph" w:styleId="Heading2">
    <w:name w:val="heading 2"/>
    <w:aliases w:val="H2-Sec. Head"/>
    <w:basedOn w:val="Normal"/>
    <w:next w:val="Normal"/>
    <w:link w:val="Heading2Char"/>
    <w:qFormat/>
    <w:rsid w:val="0014557D"/>
    <w:pPr>
      <w:keepNext/>
      <w:spacing w:before="180" w:after="180" w:line="320" w:lineRule="exact"/>
      <w:outlineLvl w:val="1"/>
    </w:pPr>
    <w:rPr>
      <w:color w:val="065D8B"/>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182"/>
    <w:rPr>
      <w:color w:val="0563C1" w:themeColor="hyperlink"/>
      <w:u w:val="single"/>
    </w:rPr>
  </w:style>
  <w:style w:type="paragraph" w:styleId="BalloonText">
    <w:name w:val="Balloon Text"/>
    <w:basedOn w:val="Normal"/>
    <w:link w:val="BalloonTextChar"/>
    <w:uiPriority w:val="99"/>
    <w:semiHidden/>
    <w:unhideWhenUsed/>
    <w:rsid w:val="00477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698"/>
    <w:rPr>
      <w:rFonts w:ascii="Segoe UI" w:hAnsi="Segoe UI" w:cs="Segoe UI"/>
      <w:sz w:val="18"/>
      <w:szCs w:val="18"/>
    </w:rPr>
  </w:style>
  <w:style w:type="paragraph" w:styleId="ListParagraph">
    <w:name w:val="List Paragraph"/>
    <w:basedOn w:val="Normal"/>
    <w:uiPriority w:val="34"/>
    <w:qFormat/>
    <w:rsid w:val="00477698"/>
    <w:pPr>
      <w:ind w:left="720"/>
      <w:contextualSpacing/>
    </w:pPr>
  </w:style>
  <w:style w:type="character" w:styleId="CommentReference">
    <w:name w:val="annotation reference"/>
    <w:basedOn w:val="DefaultParagraphFont"/>
    <w:uiPriority w:val="99"/>
    <w:semiHidden/>
    <w:unhideWhenUsed/>
    <w:rsid w:val="00477698"/>
    <w:rPr>
      <w:sz w:val="16"/>
      <w:szCs w:val="16"/>
    </w:rPr>
  </w:style>
  <w:style w:type="paragraph" w:styleId="CommentText">
    <w:name w:val="annotation text"/>
    <w:basedOn w:val="Normal"/>
    <w:link w:val="CommentTextChar"/>
    <w:uiPriority w:val="99"/>
    <w:semiHidden/>
    <w:unhideWhenUsed/>
    <w:rsid w:val="00477698"/>
    <w:pPr>
      <w:spacing w:line="240" w:lineRule="auto"/>
    </w:pPr>
    <w:rPr>
      <w:sz w:val="20"/>
      <w:szCs w:val="20"/>
    </w:rPr>
  </w:style>
  <w:style w:type="character" w:customStyle="1" w:styleId="CommentTextChar">
    <w:name w:val="Comment Text Char"/>
    <w:basedOn w:val="DefaultParagraphFont"/>
    <w:link w:val="CommentText"/>
    <w:uiPriority w:val="99"/>
    <w:semiHidden/>
    <w:rsid w:val="00477698"/>
    <w:rPr>
      <w:sz w:val="20"/>
      <w:szCs w:val="20"/>
    </w:rPr>
  </w:style>
  <w:style w:type="paragraph" w:styleId="CommentSubject">
    <w:name w:val="annotation subject"/>
    <w:basedOn w:val="CommentText"/>
    <w:next w:val="CommentText"/>
    <w:link w:val="CommentSubjectChar"/>
    <w:uiPriority w:val="99"/>
    <w:semiHidden/>
    <w:unhideWhenUsed/>
    <w:rsid w:val="00477698"/>
    <w:rPr>
      <w:b/>
      <w:bCs/>
    </w:rPr>
  </w:style>
  <w:style w:type="character" w:customStyle="1" w:styleId="CommentSubjectChar">
    <w:name w:val="Comment Subject Char"/>
    <w:basedOn w:val="CommentTextChar"/>
    <w:link w:val="CommentSubject"/>
    <w:uiPriority w:val="99"/>
    <w:semiHidden/>
    <w:rsid w:val="00477698"/>
    <w:rPr>
      <w:b/>
      <w:bCs/>
      <w:sz w:val="20"/>
      <w:szCs w:val="20"/>
    </w:rPr>
  </w:style>
  <w:style w:type="paragraph" w:styleId="FootnoteText">
    <w:name w:val="footnote text"/>
    <w:basedOn w:val="Normal"/>
    <w:link w:val="FootnoteTextChar"/>
    <w:uiPriority w:val="99"/>
    <w:semiHidden/>
    <w:unhideWhenUsed/>
    <w:rsid w:val="00E11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1EE3"/>
    <w:rPr>
      <w:sz w:val="20"/>
      <w:szCs w:val="20"/>
    </w:rPr>
  </w:style>
  <w:style w:type="character" w:styleId="FootnoteReference">
    <w:name w:val="footnote reference"/>
    <w:basedOn w:val="DefaultParagraphFont"/>
    <w:uiPriority w:val="99"/>
    <w:semiHidden/>
    <w:unhideWhenUsed/>
    <w:rsid w:val="00E11EE3"/>
    <w:rPr>
      <w:vertAlign w:val="superscript"/>
    </w:rPr>
  </w:style>
  <w:style w:type="character" w:styleId="FollowedHyperlink">
    <w:name w:val="FollowedHyperlink"/>
    <w:basedOn w:val="DefaultParagraphFont"/>
    <w:uiPriority w:val="99"/>
    <w:semiHidden/>
    <w:unhideWhenUsed/>
    <w:rsid w:val="003E0E6E"/>
    <w:rPr>
      <w:color w:val="954F72" w:themeColor="followedHyperlink"/>
      <w:u w:val="single"/>
    </w:rPr>
  </w:style>
  <w:style w:type="paragraph" w:styleId="NoSpacing">
    <w:name w:val="No Spacing"/>
    <w:uiPriority w:val="1"/>
    <w:qFormat/>
    <w:rsid w:val="001F49D2"/>
    <w:pPr>
      <w:spacing w:after="0" w:line="240" w:lineRule="auto"/>
    </w:pPr>
  </w:style>
  <w:style w:type="paragraph" w:customStyle="1" w:styleId="Intro-Paragraph">
    <w:name w:val="Intro-Paragraph"/>
    <w:link w:val="Intro-ParagraphChar"/>
    <w:qFormat/>
    <w:rsid w:val="0014557D"/>
    <w:pPr>
      <w:spacing w:after="180" w:line="280" w:lineRule="atLeast"/>
      <w:ind w:left="720" w:right="3600"/>
    </w:pPr>
    <w:rPr>
      <w:rFonts w:ascii="Calibri" w:eastAsia="Times New Roman" w:hAnsi="Calibri" w:cs="Times New Roman"/>
      <w:sz w:val="21"/>
      <w:szCs w:val="20"/>
    </w:rPr>
  </w:style>
  <w:style w:type="character" w:customStyle="1" w:styleId="Intro-ParagraphChar">
    <w:name w:val="Intro-Paragraph Char"/>
    <w:basedOn w:val="DefaultParagraphFont"/>
    <w:link w:val="Intro-Paragraph"/>
    <w:rsid w:val="0014557D"/>
    <w:rPr>
      <w:rFonts w:ascii="Calibri" w:eastAsia="Times New Roman" w:hAnsi="Calibri" w:cs="Times New Roman"/>
      <w:sz w:val="21"/>
      <w:szCs w:val="20"/>
    </w:rPr>
  </w:style>
  <w:style w:type="character" w:customStyle="1" w:styleId="Heading1Char">
    <w:name w:val="Heading 1 Char"/>
    <w:aliases w:val="H1-Chap. Head Char"/>
    <w:basedOn w:val="DefaultParagraphFont"/>
    <w:link w:val="Heading1"/>
    <w:rsid w:val="0014557D"/>
    <w:rPr>
      <w:rFonts w:eastAsia="Calibri" w:cs="Myriad Pro"/>
      <w:b/>
      <w:bCs/>
      <w:color w:val="118577"/>
      <w:spacing w:val="-1"/>
      <w:w w:val="110"/>
      <w:sz w:val="40"/>
      <w:szCs w:val="40"/>
    </w:rPr>
  </w:style>
  <w:style w:type="character" w:customStyle="1" w:styleId="Heading2Char">
    <w:name w:val="Heading 2 Char"/>
    <w:aliases w:val="H2-Sec. Head Char"/>
    <w:basedOn w:val="DefaultParagraphFont"/>
    <w:link w:val="Heading2"/>
    <w:rsid w:val="0014557D"/>
    <w:rPr>
      <w:color w:val="065D8B"/>
      <w:sz w:val="28"/>
      <w:szCs w:val="30"/>
    </w:rPr>
  </w:style>
  <w:style w:type="paragraph" w:styleId="Header">
    <w:name w:val="header"/>
    <w:basedOn w:val="Normal"/>
    <w:link w:val="HeaderChar"/>
    <w:uiPriority w:val="99"/>
    <w:unhideWhenUsed/>
    <w:rsid w:val="00145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7D"/>
  </w:style>
  <w:style w:type="paragraph" w:styleId="Footer">
    <w:name w:val="footer"/>
    <w:basedOn w:val="Normal"/>
    <w:link w:val="FooterChar"/>
    <w:unhideWhenUsed/>
    <w:rsid w:val="0014557D"/>
    <w:pPr>
      <w:tabs>
        <w:tab w:val="center" w:pos="4680"/>
        <w:tab w:val="right" w:pos="9360"/>
      </w:tabs>
      <w:spacing w:after="0" w:line="240" w:lineRule="auto"/>
    </w:pPr>
  </w:style>
  <w:style w:type="character" w:customStyle="1" w:styleId="FooterChar">
    <w:name w:val="Footer Char"/>
    <w:basedOn w:val="DefaultParagraphFont"/>
    <w:link w:val="Footer"/>
    <w:rsid w:val="0014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osepidea/618-data/state-level-data-files/index.html"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2.ed.gov/programs/osepidea/618-data/collection-documentation/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C8B4-8F28-41E4-929D-044EFE82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577015F4.dotm</Template>
  <TotalTime>0</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dc:creator>
  <cp:keywords/>
  <dc:description/>
  <cp:lastModifiedBy>Lindsay Wise</cp:lastModifiedBy>
  <cp:revision>2</cp:revision>
  <cp:lastPrinted>2018-06-07T12:03:00Z</cp:lastPrinted>
  <dcterms:created xsi:type="dcterms:W3CDTF">2018-09-14T12:26:00Z</dcterms:created>
  <dcterms:modified xsi:type="dcterms:W3CDTF">2018-09-14T12:26:00Z</dcterms:modified>
</cp:coreProperties>
</file>