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6786E" w14:textId="77777777" w:rsidR="00FA3124" w:rsidRPr="00FA3124" w:rsidRDefault="00FA3124" w:rsidP="00BB552E">
      <w:pPr>
        <w:pStyle w:val="C1-CtrBoldHd"/>
        <w:spacing w:after="240"/>
        <w:rPr>
          <w:rFonts w:asciiTheme="minorHAnsi" w:hAnsiTheme="minorHAnsi"/>
          <w:color w:val="199387"/>
        </w:rPr>
      </w:pPr>
      <w:r w:rsidRPr="00FA3124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54892A98" w14:textId="77777777" w:rsidTr="00E704B9">
        <w:trPr>
          <w:cantSplit/>
        </w:trPr>
        <w:tc>
          <w:tcPr>
            <w:tcW w:w="10310" w:type="dxa"/>
            <w:shd w:val="clear" w:color="auto" w:fill="199387"/>
          </w:tcPr>
          <w:p w14:paraId="2E3F7C1D" w14:textId="1903497A" w:rsidR="00E2128C" w:rsidRPr="004976EC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Data Collection Name: </w:t>
            </w:r>
            <w:r w:rsidRPr="004976EC">
              <w:rPr>
                <w:rFonts w:asciiTheme="minorHAnsi" w:hAnsiTheme="minorHAnsi"/>
                <w:b w:val="0"/>
              </w:rPr>
              <w:t xml:space="preserve">Reference the name the collection </w:t>
            </w:r>
            <w:proofErr w:type="gramStart"/>
            <w:r w:rsidRPr="004976EC">
              <w:rPr>
                <w:rFonts w:asciiTheme="minorHAnsi" w:hAnsiTheme="minorHAnsi"/>
                <w:b w:val="0"/>
              </w:rPr>
              <w:t>is known</w:t>
            </w:r>
            <w:proofErr w:type="gramEnd"/>
            <w:r w:rsidRPr="004976EC">
              <w:rPr>
                <w:rFonts w:asciiTheme="minorHAnsi" w:hAnsiTheme="minorHAnsi"/>
                <w:b w:val="0"/>
              </w:rPr>
              <w:t xml:space="preserve"> by in the</w:t>
            </w:r>
            <w:r w:rsidR="004F4243" w:rsidRPr="004976EC">
              <w:rPr>
                <w:rFonts w:asciiTheme="minorHAnsi" w:hAnsiTheme="minorHAnsi"/>
                <w:b w:val="0"/>
              </w:rPr>
              <w:t xml:space="preserve"> Lead Agency</w:t>
            </w:r>
            <w:r w:rsidRPr="004976EC">
              <w:rPr>
                <w:rFonts w:asciiTheme="minorHAnsi" w:hAnsiTheme="minorHAnsi"/>
                <w:b w:val="0"/>
              </w:rPr>
              <w:t xml:space="preserve"> </w:t>
            </w:r>
            <w:r w:rsidR="004F4243" w:rsidRPr="004976EC">
              <w:rPr>
                <w:rFonts w:asciiTheme="minorHAnsi" w:hAnsiTheme="minorHAnsi"/>
                <w:b w:val="0"/>
              </w:rPr>
              <w:t>(</w:t>
            </w:r>
            <w:r w:rsidR="00F87CFE" w:rsidRPr="004976EC">
              <w:rPr>
                <w:rFonts w:asciiTheme="minorHAnsi" w:hAnsiTheme="minorHAnsi"/>
                <w:b w:val="0"/>
              </w:rPr>
              <w:t>L</w:t>
            </w:r>
            <w:r w:rsidRPr="004976EC">
              <w:rPr>
                <w:rFonts w:asciiTheme="minorHAnsi" w:hAnsiTheme="minorHAnsi"/>
                <w:b w:val="0"/>
              </w:rPr>
              <w:t>A</w:t>
            </w:r>
            <w:r w:rsidR="004F4243" w:rsidRPr="004976EC">
              <w:rPr>
                <w:rFonts w:asciiTheme="minorHAnsi" w:hAnsiTheme="minorHAnsi"/>
                <w:b w:val="0"/>
              </w:rPr>
              <w:t>)</w:t>
            </w:r>
            <w:r w:rsidRPr="004976EC">
              <w:rPr>
                <w:rFonts w:asciiTheme="minorHAnsi" w:hAnsiTheme="minorHAnsi"/>
                <w:b w:val="0"/>
              </w:rPr>
              <w:t xml:space="preserve">. For accuracy of communication throughout the </w:t>
            </w:r>
            <w:r w:rsidR="00F87CFE" w:rsidRPr="004976EC">
              <w:rPr>
                <w:rFonts w:asciiTheme="minorHAnsi" w:hAnsiTheme="minorHAnsi"/>
                <w:b w:val="0"/>
              </w:rPr>
              <w:t>L</w:t>
            </w:r>
            <w:r w:rsidRPr="004976EC">
              <w:rPr>
                <w:rFonts w:asciiTheme="minorHAnsi" w:hAnsiTheme="minorHAnsi"/>
                <w:b w:val="0"/>
              </w:rPr>
              <w:t xml:space="preserve">A, reference each data collection by only one name. </w:t>
            </w:r>
          </w:p>
        </w:tc>
      </w:tr>
      <w:tr w:rsidR="00E2128C" w:rsidRPr="004976EC" w14:paraId="39A6331D" w14:textId="77777777" w:rsidTr="00E704B9">
        <w:trPr>
          <w:cantSplit/>
        </w:trPr>
        <w:tc>
          <w:tcPr>
            <w:tcW w:w="103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33DCB1" w14:textId="1E3DCCE3" w:rsidR="00E2128C" w:rsidRPr="004976EC" w:rsidRDefault="00E2128C" w:rsidP="004976EC">
            <w:pPr>
              <w:pStyle w:val="L1-FlLSp12"/>
              <w:tabs>
                <w:tab w:val="left" w:pos="418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E2128C" w:rsidRPr="004976EC" w14:paraId="029AC1A9" w14:textId="77777777" w:rsidTr="00E704B9">
        <w:trPr>
          <w:cantSplit/>
        </w:trPr>
        <w:tc>
          <w:tcPr>
            <w:tcW w:w="10310" w:type="dxa"/>
            <w:shd w:val="clear" w:color="auto" w:fill="199387"/>
          </w:tcPr>
          <w:p w14:paraId="3803BDF2" w14:textId="1EB7C6EC" w:rsidR="00E2128C" w:rsidRPr="004976EC" w:rsidRDefault="00E2128C" w:rsidP="00980DEF">
            <w:pPr>
              <w:pStyle w:val="SL-FlLftSgl"/>
              <w:rPr>
                <w:rFonts w:asciiTheme="minorHAnsi" w:hAnsiTheme="minorHAnsi"/>
              </w:rPr>
            </w:pPr>
            <w:proofErr w:type="spellStart"/>
            <w:r w:rsidRPr="004976EC">
              <w:rPr>
                <w:rFonts w:asciiTheme="minorHAnsi" w:hAnsiTheme="minorHAnsi"/>
              </w:rPr>
              <w:t>ED</w:t>
            </w:r>
            <w:r w:rsidRPr="004976EC">
              <w:rPr>
                <w:rFonts w:asciiTheme="minorHAnsi" w:hAnsiTheme="minorHAnsi"/>
                <w:i/>
              </w:rPr>
              <w:t>Facts</w:t>
            </w:r>
            <w:proofErr w:type="spellEnd"/>
            <w:r w:rsidRPr="004976EC">
              <w:rPr>
                <w:rFonts w:asciiTheme="minorHAnsi" w:hAnsiTheme="minorHAnsi"/>
              </w:rPr>
              <w:t xml:space="preserve"> Submission</w:t>
            </w:r>
            <w:r w:rsidR="005A7C23" w:rsidRPr="004976EC">
              <w:rPr>
                <w:rFonts w:asciiTheme="minorHAnsi" w:hAnsiTheme="minorHAnsi"/>
              </w:rPr>
              <w:t xml:space="preserve"> Method</w:t>
            </w:r>
            <w:r w:rsidRPr="004976EC">
              <w:rPr>
                <w:rFonts w:asciiTheme="minorHAnsi" w:hAnsiTheme="minorHAnsi"/>
              </w:rPr>
              <w:t>:</w:t>
            </w:r>
          </w:p>
        </w:tc>
      </w:tr>
      <w:tr w:rsidR="00E2128C" w:rsidRPr="004976EC" w14:paraId="6A61F6D8" w14:textId="77777777" w:rsidTr="00E704B9">
        <w:trPr>
          <w:cantSplit/>
        </w:trPr>
        <w:tc>
          <w:tcPr>
            <w:tcW w:w="103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043495" w14:textId="77777777" w:rsidR="00E2128C" w:rsidRPr="004976EC" w:rsidRDefault="00E2128C" w:rsidP="00F57DEF">
            <w:pPr>
              <w:pStyle w:val="B1-Bullet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Submitted via E</w:t>
            </w:r>
            <w:r w:rsidRPr="004976EC">
              <w:rPr>
                <w:rFonts w:asciiTheme="minorHAnsi" w:hAnsiTheme="minorHAnsi"/>
                <w:i/>
              </w:rPr>
              <w:t>MAPS.</w:t>
            </w:r>
          </w:p>
        </w:tc>
      </w:tr>
      <w:tr w:rsidR="00E2128C" w:rsidRPr="004976EC" w14:paraId="18014E77" w14:textId="77777777" w:rsidTr="00E704B9">
        <w:trPr>
          <w:cantSplit/>
        </w:trPr>
        <w:tc>
          <w:tcPr>
            <w:tcW w:w="10310" w:type="dxa"/>
            <w:shd w:val="clear" w:color="auto" w:fill="199387"/>
          </w:tcPr>
          <w:p w14:paraId="4B47AE94" w14:textId="44216157" w:rsidR="00E2128C" w:rsidRPr="004976EC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Data Stewards:</w:t>
            </w:r>
            <w:r w:rsidRPr="004976EC">
              <w:rPr>
                <w:rFonts w:asciiTheme="minorHAnsi" w:hAnsiTheme="minorHAnsi"/>
                <w:b w:val="0"/>
              </w:rPr>
              <w:t xml:space="preserve"> Provide</w:t>
            </w:r>
            <w:r w:rsidR="00E02AEB">
              <w:rPr>
                <w:rFonts w:asciiTheme="minorHAnsi" w:hAnsiTheme="minorHAnsi"/>
                <w:b w:val="0"/>
              </w:rPr>
              <w:t xml:space="preserve"> titles and </w:t>
            </w:r>
            <w:r w:rsidRPr="004976EC">
              <w:rPr>
                <w:rFonts w:asciiTheme="minorHAnsi" w:hAnsiTheme="minorHAnsi"/>
                <w:b w:val="0"/>
              </w:rPr>
              <w:t xml:space="preserve">names, contact information, department, and any notes on persons responsible for </w:t>
            </w:r>
            <w:r w:rsidR="00E034E6" w:rsidRPr="004976EC">
              <w:rPr>
                <w:rFonts w:asciiTheme="minorHAnsi" w:hAnsiTheme="minorHAnsi"/>
                <w:b w:val="0"/>
              </w:rPr>
              <w:t>collections, validation, and</w:t>
            </w:r>
            <w:r w:rsidRPr="004976EC">
              <w:rPr>
                <w:rFonts w:asciiTheme="minorHAnsi" w:hAnsiTheme="minorHAnsi"/>
                <w:b w:val="0"/>
              </w:rPr>
              <w:t xml:space="preserve"> submission. If there are multiple parties responsible or involved in the process, list them all (i.e., Part </w:t>
            </w:r>
            <w:r w:rsidR="00F87CFE" w:rsidRPr="004976EC">
              <w:rPr>
                <w:rFonts w:asciiTheme="minorHAnsi" w:hAnsiTheme="minorHAnsi"/>
                <w:b w:val="0"/>
              </w:rPr>
              <w:t>C</w:t>
            </w:r>
            <w:r w:rsidRPr="004976EC">
              <w:rPr>
                <w:rFonts w:asciiTheme="minorHAnsi" w:hAnsiTheme="minorHAnsi"/>
                <w:b w:val="0"/>
              </w:rPr>
              <w:t xml:space="preserve"> Data Manager</w:t>
            </w:r>
            <w:r w:rsidR="00F87CFE" w:rsidRPr="004976EC">
              <w:rPr>
                <w:rFonts w:asciiTheme="minorHAnsi" w:hAnsiTheme="minorHAnsi"/>
                <w:b w:val="0"/>
              </w:rPr>
              <w:t xml:space="preserve"> Part C Coordinator</w:t>
            </w:r>
            <w:r w:rsidRPr="004976EC">
              <w:rPr>
                <w:rFonts w:asciiTheme="minorHAnsi" w:hAnsiTheme="minorHAnsi"/>
                <w:b w:val="0"/>
              </w:rPr>
              <w:t>,</w:t>
            </w:r>
            <w:r w:rsidR="00F87CFE" w:rsidRPr="004976EC">
              <w:rPr>
                <w:rFonts w:asciiTheme="minorHAnsi" w:hAnsiTheme="minorHAnsi"/>
                <w:b w:val="0"/>
              </w:rPr>
              <w:t xml:space="preserve"> Program Coordinator, Provider,</w:t>
            </w:r>
            <w:r w:rsidRPr="004976EC">
              <w:rPr>
                <w:rFonts w:asciiTheme="minorHAnsi" w:hAnsiTheme="minorHAnsi"/>
                <w:b w:val="0"/>
              </w:rPr>
              <w:t xml:space="preserve"> etc.).</w:t>
            </w:r>
          </w:p>
        </w:tc>
      </w:tr>
      <w:tr w:rsidR="00E2128C" w:rsidRPr="004976EC" w14:paraId="02D16BFA" w14:textId="77777777" w:rsidTr="00E704B9">
        <w:trPr>
          <w:cantSplit/>
        </w:trPr>
        <w:tc>
          <w:tcPr>
            <w:tcW w:w="10310" w:type="dxa"/>
            <w:tcBorders>
              <w:bottom w:val="single" w:sz="4" w:space="0" w:color="auto"/>
            </w:tcBorders>
          </w:tcPr>
          <w:p w14:paraId="052BF7E3" w14:textId="77777777" w:rsidR="00E2128C" w:rsidRPr="004976EC" w:rsidRDefault="00E2128C" w:rsidP="00980DEF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2128C" w:rsidRPr="004976EC" w14:paraId="155E4145" w14:textId="77777777" w:rsidTr="00E704B9">
        <w:trPr>
          <w:cantSplit/>
        </w:trPr>
        <w:tc>
          <w:tcPr>
            <w:tcW w:w="10310" w:type="dxa"/>
            <w:shd w:val="clear" w:color="auto" w:fill="199387"/>
          </w:tcPr>
          <w:p w14:paraId="37280540" w14:textId="77777777" w:rsidR="00E2128C" w:rsidRPr="004976EC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Data Collection Levels: </w:t>
            </w:r>
            <w:r w:rsidRPr="004976EC">
              <w:rPr>
                <w:rFonts w:asciiTheme="minorHAnsi" w:hAnsiTheme="minorHAnsi"/>
                <w:b w:val="0"/>
              </w:rPr>
              <w:t xml:space="preserve">These are the levels at which data </w:t>
            </w:r>
            <w:proofErr w:type="gramStart"/>
            <w:r w:rsidRPr="004976EC">
              <w:rPr>
                <w:rFonts w:asciiTheme="minorHAnsi" w:hAnsiTheme="minorHAnsi"/>
                <w:b w:val="0"/>
              </w:rPr>
              <w:t>are collected and reported</w:t>
            </w:r>
            <w:proofErr w:type="gramEnd"/>
            <w:r w:rsidRPr="004976EC">
              <w:rPr>
                <w:rFonts w:asciiTheme="minorHAnsi" w:hAnsiTheme="minorHAnsi"/>
                <w:b w:val="0"/>
              </w:rPr>
              <w:t xml:space="preserve">. </w:t>
            </w:r>
          </w:p>
        </w:tc>
      </w:tr>
      <w:tr w:rsidR="00E2128C" w:rsidRPr="004976EC" w14:paraId="4BC6B3A2" w14:textId="77777777" w:rsidTr="00E704B9">
        <w:trPr>
          <w:cantSplit/>
        </w:trPr>
        <w:tc>
          <w:tcPr>
            <w:tcW w:w="10310" w:type="dxa"/>
            <w:tcBorders>
              <w:bottom w:val="single" w:sz="4" w:space="0" w:color="auto"/>
            </w:tcBorders>
            <w:shd w:val="clear" w:color="auto" w:fill="auto"/>
          </w:tcPr>
          <w:p w14:paraId="5BFAB674" w14:textId="5CCB1078" w:rsidR="00E2128C" w:rsidRPr="004976EC" w:rsidRDefault="00E2128C" w:rsidP="00F57DEF">
            <w:pPr>
              <w:pStyle w:val="B1-Bullet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Type (Written</w:t>
            </w:r>
            <w:r w:rsidR="00F87CFE" w:rsidRPr="004976EC">
              <w:rPr>
                <w:rFonts w:asciiTheme="minorHAnsi" w:hAnsiTheme="minorHAnsi"/>
              </w:rPr>
              <w:t>,</w:t>
            </w:r>
            <w:r w:rsidRPr="004976EC">
              <w:rPr>
                <w:rFonts w:asciiTheme="minorHAnsi" w:hAnsiTheme="minorHAnsi"/>
              </w:rPr>
              <w:t xml:space="preserve"> </w:t>
            </w:r>
            <w:r w:rsidR="00F87CFE" w:rsidRPr="004976EC">
              <w:rPr>
                <w:rFonts w:asciiTheme="minorHAnsi" w:hAnsiTheme="minorHAnsi"/>
              </w:rPr>
              <w:t xml:space="preserve">Signed </w:t>
            </w:r>
            <w:r w:rsidRPr="004976EC">
              <w:rPr>
                <w:rFonts w:asciiTheme="minorHAnsi" w:hAnsiTheme="minorHAnsi"/>
              </w:rPr>
              <w:t>Complaints</w:t>
            </w:r>
            <w:r w:rsidR="00903CF5" w:rsidRPr="004976EC">
              <w:rPr>
                <w:rFonts w:asciiTheme="minorHAnsi" w:hAnsiTheme="minorHAnsi"/>
              </w:rPr>
              <w:t>;</w:t>
            </w:r>
            <w:r w:rsidRPr="004976EC">
              <w:rPr>
                <w:rFonts w:asciiTheme="minorHAnsi" w:hAnsiTheme="minorHAnsi"/>
              </w:rPr>
              <w:t xml:space="preserve"> Mediation</w:t>
            </w:r>
            <w:r w:rsidR="00F87CFE" w:rsidRPr="004976EC">
              <w:rPr>
                <w:rFonts w:asciiTheme="minorHAnsi" w:hAnsiTheme="minorHAnsi"/>
              </w:rPr>
              <w:t xml:space="preserve"> Requests</w:t>
            </w:r>
            <w:r w:rsidR="00903CF5" w:rsidRPr="004976EC">
              <w:rPr>
                <w:rFonts w:asciiTheme="minorHAnsi" w:hAnsiTheme="minorHAnsi"/>
              </w:rPr>
              <w:t>;</w:t>
            </w:r>
            <w:r w:rsidRPr="004976EC">
              <w:rPr>
                <w:rFonts w:asciiTheme="minorHAnsi" w:hAnsiTheme="minorHAnsi"/>
              </w:rPr>
              <w:t xml:space="preserve"> Due Process Complaints)</w:t>
            </w:r>
          </w:p>
          <w:p w14:paraId="3C36576F" w14:textId="6D297C99" w:rsidR="00E2128C" w:rsidRPr="004976EC" w:rsidRDefault="00E2128C" w:rsidP="00F57DEF">
            <w:pPr>
              <w:pStyle w:val="B1-Bullet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Aggregated at</w:t>
            </w:r>
            <w:r w:rsidR="00850D5D">
              <w:rPr>
                <w:rFonts w:asciiTheme="minorHAnsi" w:hAnsiTheme="minorHAnsi"/>
              </w:rPr>
              <w:t xml:space="preserve"> the</w:t>
            </w:r>
            <w:r w:rsidRPr="004976EC">
              <w:rPr>
                <w:rFonts w:asciiTheme="minorHAnsi" w:hAnsiTheme="minorHAnsi"/>
              </w:rPr>
              <w:t xml:space="preserve"> </w:t>
            </w:r>
            <w:r w:rsidR="00850D5D">
              <w:rPr>
                <w:rFonts w:asciiTheme="minorHAnsi" w:hAnsiTheme="minorHAnsi"/>
              </w:rPr>
              <w:t>LA</w:t>
            </w:r>
            <w:r w:rsidRPr="004976EC">
              <w:rPr>
                <w:rFonts w:asciiTheme="minorHAnsi" w:hAnsiTheme="minorHAnsi"/>
              </w:rPr>
              <w:t xml:space="preserve"> level only</w:t>
            </w:r>
          </w:p>
          <w:p w14:paraId="0BC50842" w14:textId="4159CC0F" w:rsidR="00E2128C" w:rsidRPr="004976EC" w:rsidRDefault="00E2128C" w:rsidP="00F57DEF">
            <w:pPr>
              <w:pStyle w:val="B1-Bullet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Events initiated during covered period (July 1 through June 30)</w:t>
            </w:r>
            <w:r w:rsidR="00C22CF3" w:rsidRPr="004976EC">
              <w:rPr>
                <w:rFonts w:asciiTheme="minorHAnsi" w:hAnsiTheme="minorHAnsi"/>
                <w:noProof/>
              </w:rPr>
              <w:t xml:space="preserve"> </w:t>
            </w:r>
          </w:p>
          <w:p w14:paraId="20DA71AB" w14:textId="5EBE17AE" w:rsidR="00E2128C" w:rsidRPr="004976EC" w:rsidRDefault="00E2128C" w:rsidP="00F57DEF">
            <w:pPr>
              <w:pStyle w:val="B1-Bullet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Status of event (</w:t>
            </w:r>
            <w:r w:rsidR="009967F4">
              <w:rPr>
                <w:rFonts w:asciiTheme="minorHAnsi" w:hAnsiTheme="minorHAnsi"/>
              </w:rPr>
              <w:t>r</w:t>
            </w:r>
            <w:r w:rsidRPr="004976EC">
              <w:rPr>
                <w:rFonts w:asciiTheme="minorHAnsi" w:hAnsiTheme="minorHAnsi"/>
              </w:rPr>
              <w:t>eports issued, within timelines, status pending, dismissed, etc.</w:t>
            </w:r>
            <w:r w:rsidR="00C22CF3" w:rsidRPr="004976EC">
              <w:rPr>
                <w:rStyle w:val="FootnoteReference"/>
                <w:rFonts w:asciiTheme="minorHAnsi" w:hAnsiTheme="minorHAnsi"/>
              </w:rPr>
              <w:footnoteReference w:id="2"/>
            </w:r>
            <w:r w:rsidRPr="004976EC">
              <w:rPr>
                <w:rFonts w:asciiTheme="minorHAnsi" w:hAnsiTheme="minorHAnsi"/>
              </w:rPr>
              <w:t>) at the close of the covered period</w:t>
            </w:r>
          </w:p>
          <w:p w14:paraId="0A6B2713" w14:textId="6BB2B7E9" w:rsidR="00E2128C" w:rsidRPr="004976EC" w:rsidRDefault="00E2128C" w:rsidP="00F57DEF">
            <w:pPr>
              <w:pStyle w:val="B1-Bullet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Other</w:t>
            </w:r>
            <w:r w:rsidR="00980DEF" w:rsidRPr="004976EC">
              <w:rPr>
                <w:rFonts w:asciiTheme="minorHAnsi" w:hAnsiTheme="minorHAnsi"/>
              </w:rPr>
              <w:t xml:space="preserve"> </w:t>
            </w:r>
            <w:r w:rsidRPr="004976EC">
              <w:rPr>
                <w:rFonts w:asciiTheme="minorHAnsi" w:hAnsiTheme="minorHAnsi"/>
              </w:rPr>
              <w:t>_____________________</w:t>
            </w:r>
          </w:p>
        </w:tc>
      </w:tr>
      <w:tr w:rsidR="00E2128C" w:rsidRPr="004976EC" w14:paraId="36DB7680" w14:textId="77777777" w:rsidTr="00E704B9">
        <w:trPr>
          <w:cantSplit/>
        </w:trPr>
        <w:tc>
          <w:tcPr>
            <w:tcW w:w="10310" w:type="dxa"/>
            <w:shd w:val="clear" w:color="auto" w:fill="199387"/>
          </w:tcPr>
          <w:p w14:paraId="20E61C61" w14:textId="249E57FD" w:rsidR="00E2128C" w:rsidRPr="004976EC" w:rsidRDefault="00240C22" w:rsidP="00235855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Federal Reporting Period and Submission Dates</w:t>
            </w:r>
            <w:r w:rsidR="00E2128C" w:rsidRPr="004976EC">
              <w:rPr>
                <w:rFonts w:asciiTheme="minorHAnsi" w:hAnsiTheme="minorHAnsi"/>
              </w:rPr>
              <w:t>:</w:t>
            </w:r>
            <w:r w:rsidR="00E2128C" w:rsidRPr="004976EC">
              <w:rPr>
                <w:rFonts w:asciiTheme="minorHAnsi" w:hAnsiTheme="minorHAnsi"/>
                <w:b w:val="0"/>
              </w:rPr>
              <w:t xml:space="preserve"> The reporting period as defined by OSEP (i.e., snapshot of a particular day or a </w:t>
            </w:r>
            <w:proofErr w:type="gramStart"/>
            <w:r w:rsidR="00E2128C" w:rsidRPr="004976EC">
              <w:rPr>
                <w:rFonts w:asciiTheme="minorHAnsi" w:hAnsiTheme="minorHAnsi"/>
                <w:b w:val="0"/>
              </w:rPr>
              <w:t>period of time</w:t>
            </w:r>
            <w:proofErr w:type="gramEnd"/>
            <w:r w:rsidR="00E2128C" w:rsidRPr="004976EC">
              <w:rPr>
                <w:rFonts w:asciiTheme="minorHAnsi" w:hAnsiTheme="minorHAnsi"/>
                <w:b w:val="0"/>
              </w:rPr>
              <w:t xml:space="preserve"> such as </w:t>
            </w:r>
            <w:r w:rsidR="00235855" w:rsidRPr="004976EC">
              <w:rPr>
                <w:rFonts w:asciiTheme="minorHAnsi" w:hAnsiTheme="minorHAnsi"/>
                <w:b w:val="0"/>
              </w:rPr>
              <w:t>calendar</w:t>
            </w:r>
            <w:r w:rsidR="00E2128C" w:rsidRPr="004976EC">
              <w:rPr>
                <w:rFonts w:asciiTheme="minorHAnsi" w:hAnsiTheme="minorHAnsi"/>
                <w:b w:val="0"/>
              </w:rPr>
              <w:t xml:space="preserve"> year) and final due date.</w:t>
            </w:r>
          </w:p>
        </w:tc>
      </w:tr>
      <w:tr w:rsidR="00E2128C" w:rsidRPr="004976EC" w14:paraId="13F3E47D" w14:textId="77777777" w:rsidTr="00E704B9">
        <w:trPr>
          <w:cantSplit/>
        </w:trPr>
        <w:tc>
          <w:tcPr>
            <w:tcW w:w="10310" w:type="dxa"/>
            <w:tcBorders>
              <w:bottom w:val="single" w:sz="4" w:space="0" w:color="auto"/>
            </w:tcBorders>
            <w:shd w:val="clear" w:color="auto" w:fill="auto"/>
          </w:tcPr>
          <w:p w14:paraId="1C5DEE5C" w14:textId="77777777" w:rsidR="00E2128C" w:rsidRPr="004976EC" w:rsidRDefault="00E2128C" w:rsidP="00980DEF">
            <w:pPr>
              <w:pStyle w:val="L1-FlLSp12"/>
              <w:rPr>
                <w:rFonts w:asciiTheme="minorHAnsi" w:hAnsiTheme="minorHAnsi"/>
                <w:szCs w:val="24"/>
              </w:rPr>
            </w:pPr>
            <w:r w:rsidRPr="004976EC">
              <w:rPr>
                <w:rFonts w:asciiTheme="minorHAnsi" w:hAnsiTheme="minorHAnsi"/>
                <w:b/>
                <w:szCs w:val="24"/>
              </w:rPr>
              <w:t xml:space="preserve">Reporting Period: </w:t>
            </w:r>
            <w:r w:rsidRPr="004976EC">
              <w:rPr>
                <w:rFonts w:asciiTheme="minorHAnsi" w:hAnsiTheme="minorHAnsi"/>
                <w:szCs w:val="24"/>
              </w:rPr>
              <w:t>Entire year: July 1 – June 30.</w:t>
            </w:r>
          </w:p>
          <w:p w14:paraId="5A8DFB70" w14:textId="77777777" w:rsidR="00E2128C" w:rsidRPr="004976EC" w:rsidRDefault="00E2128C" w:rsidP="00980DEF">
            <w:pPr>
              <w:pStyle w:val="L1-FlLSp12"/>
              <w:rPr>
                <w:rFonts w:asciiTheme="minorHAnsi" w:hAnsiTheme="minorHAnsi"/>
                <w:szCs w:val="24"/>
              </w:rPr>
            </w:pPr>
            <w:r w:rsidRPr="004976EC">
              <w:rPr>
                <w:rFonts w:asciiTheme="minorHAnsi" w:hAnsiTheme="minorHAnsi"/>
                <w:b/>
                <w:szCs w:val="24"/>
              </w:rPr>
              <w:t xml:space="preserve">Due Date: </w:t>
            </w:r>
            <w:r w:rsidRPr="004976EC">
              <w:rPr>
                <w:rFonts w:asciiTheme="minorHAnsi" w:hAnsiTheme="minorHAnsi"/>
                <w:szCs w:val="24"/>
              </w:rPr>
              <w:t>Due annually on the first Wednesday in November.</w:t>
            </w:r>
          </w:p>
        </w:tc>
      </w:tr>
      <w:tr w:rsidR="00E2128C" w:rsidRPr="004976EC" w14:paraId="74446134" w14:textId="77777777" w:rsidTr="00E704B9">
        <w:trPr>
          <w:cantSplit/>
        </w:trPr>
        <w:tc>
          <w:tcPr>
            <w:tcW w:w="10310" w:type="dxa"/>
            <w:shd w:val="clear" w:color="auto" w:fill="199387"/>
          </w:tcPr>
          <w:p w14:paraId="0E913900" w14:textId="3D9F50F8" w:rsidR="00E2128C" w:rsidRPr="004976EC" w:rsidRDefault="00E034E6" w:rsidP="009967F4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lastRenderedPageBreak/>
              <w:t xml:space="preserve">State Collection and </w:t>
            </w:r>
            <w:r w:rsidR="00E2128C" w:rsidRPr="004976EC">
              <w:rPr>
                <w:rFonts w:asciiTheme="minorHAnsi" w:hAnsiTheme="minorHAnsi"/>
              </w:rPr>
              <w:t>Submission Schedule:</w:t>
            </w:r>
            <w:r w:rsidR="00E2128C" w:rsidRPr="004976EC">
              <w:rPr>
                <w:rStyle w:val="FootnoteReference"/>
                <w:rFonts w:asciiTheme="minorHAnsi" w:hAnsiTheme="minorHAnsi"/>
              </w:rPr>
              <w:footnoteReference w:id="3"/>
            </w:r>
            <w:r w:rsidR="00980DEF" w:rsidRPr="004976EC">
              <w:rPr>
                <w:rFonts w:asciiTheme="minorHAnsi" w:hAnsiTheme="minorHAnsi"/>
              </w:rPr>
              <w:t xml:space="preserve"> </w:t>
            </w:r>
            <w:r w:rsidR="00E2128C" w:rsidRPr="004976EC">
              <w:rPr>
                <w:rFonts w:asciiTheme="minorHAnsi" w:hAnsiTheme="minorHAnsi"/>
                <w:b w:val="0"/>
              </w:rPr>
              <w:t xml:space="preserve">Provide a list of dates when the data collection period opens, when data are due to the </w:t>
            </w:r>
            <w:r w:rsidR="00F87CFE" w:rsidRPr="004976EC">
              <w:rPr>
                <w:rFonts w:asciiTheme="minorHAnsi" w:hAnsiTheme="minorHAnsi"/>
                <w:b w:val="0"/>
              </w:rPr>
              <w:t>L</w:t>
            </w:r>
            <w:r w:rsidR="00E2128C" w:rsidRPr="004976EC">
              <w:rPr>
                <w:rFonts w:asciiTheme="minorHAnsi" w:hAnsiTheme="minorHAnsi"/>
                <w:b w:val="0"/>
              </w:rPr>
              <w:t xml:space="preserve">A from the </w:t>
            </w:r>
            <w:r w:rsidR="00F87CFE" w:rsidRPr="004976EC">
              <w:rPr>
                <w:rFonts w:asciiTheme="minorHAnsi" w:hAnsiTheme="minorHAnsi"/>
                <w:b w:val="0"/>
              </w:rPr>
              <w:t xml:space="preserve">local early </w:t>
            </w:r>
            <w:r w:rsidR="009967F4" w:rsidRPr="004976EC">
              <w:rPr>
                <w:rFonts w:asciiTheme="minorHAnsi" w:hAnsiTheme="minorHAnsi"/>
                <w:b w:val="0"/>
              </w:rPr>
              <w:t>intervention</w:t>
            </w:r>
            <w:r w:rsidR="009967F4">
              <w:rPr>
                <w:rFonts w:asciiTheme="minorHAnsi" w:hAnsiTheme="minorHAnsi"/>
                <w:b w:val="0"/>
              </w:rPr>
              <w:t xml:space="preserve"> (EI) </w:t>
            </w:r>
            <w:r w:rsidR="00F87CFE" w:rsidRPr="004976EC">
              <w:rPr>
                <w:rFonts w:asciiTheme="minorHAnsi" w:hAnsiTheme="minorHAnsi"/>
                <w:b w:val="0"/>
              </w:rPr>
              <w:t>providers</w:t>
            </w:r>
            <w:r w:rsidR="00E2128C" w:rsidRPr="004976EC">
              <w:rPr>
                <w:rFonts w:asciiTheme="minorHAnsi" w:hAnsiTheme="minorHAnsi"/>
                <w:b w:val="0"/>
              </w:rPr>
              <w:t xml:space="preserve">, when data are pulled after the collection closes, etc. </w:t>
            </w:r>
          </w:p>
        </w:tc>
      </w:tr>
      <w:tr w:rsidR="00E2128C" w:rsidRPr="004976EC" w14:paraId="2D048758" w14:textId="77777777" w:rsidTr="00E704B9">
        <w:trPr>
          <w:cantSplit/>
        </w:trPr>
        <w:tc>
          <w:tcPr>
            <w:tcW w:w="10310" w:type="dxa"/>
            <w:shd w:val="clear" w:color="auto" w:fill="auto"/>
          </w:tcPr>
          <w:p w14:paraId="7E520E89" w14:textId="3C03D477" w:rsidR="00E2128C" w:rsidRPr="004976EC" w:rsidRDefault="00E2128C" w:rsidP="00980DEF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</w:tbl>
    <w:p w14:paraId="3D29A61E" w14:textId="7A6CB5A1" w:rsidR="00BB552E" w:rsidRDefault="00BB552E" w:rsidP="00E2128C"/>
    <w:p w14:paraId="3780D16F" w14:textId="77777777" w:rsidR="00BB552E" w:rsidRDefault="00BB552E">
      <w:pPr>
        <w:spacing w:line="240" w:lineRule="auto"/>
      </w:pPr>
      <w:r>
        <w:br w:type="page"/>
      </w:r>
    </w:p>
    <w:p w14:paraId="23BAE433" w14:textId="77777777" w:rsidR="00FA3124" w:rsidRPr="00BB552E" w:rsidRDefault="00FA3124" w:rsidP="00BB552E">
      <w:pPr>
        <w:pStyle w:val="C1-CtrBoldHd"/>
        <w:spacing w:after="240"/>
        <w:rPr>
          <w:rFonts w:asciiTheme="minorHAnsi" w:hAnsiTheme="minorHAnsi"/>
          <w:color w:val="199387"/>
        </w:rPr>
      </w:pPr>
      <w:r w:rsidRPr="00BB552E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2620F9EB" w14:textId="77777777" w:rsidTr="003C0EDA">
        <w:trPr>
          <w:cantSplit/>
        </w:trPr>
        <w:tc>
          <w:tcPr>
            <w:tcW w:w="10310" w:type="dxa"/>
            <w:shd w:val="clear" w:color="auto" w:fill="199387"/>
          </w:tcPr>
          <w:p w14:paraId="46B8444C" w14:textId="23F1FD02" w:rsidR="00E2128C" w:rsidRPr="004976EC" w:rsidRDefault="00E2128C" w:rsidP="009967F4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Collection: </w:t>
            </w:r>
            <w:r w:rsidRPr="004976EC">
              <w:rPr>
                <w:rFonts w:asciiTheme="minorHAnsi" w:hAnsiTheme="minorHAnsi"/>
                <w:b w:val="0"/>
              </w:rPr>
              <w:t xml:space="preserve">Provide detailed information about how data are pulled from </w:t>
            </w:r>
            <w:r w:rsidR="003E563F">
              <w:rPr>
                <w:rFonts w:asciiTheme="minorHAnsi" w:hAnsiTheme="minorHAnsi"/>
                <w:b w:val="0"/>
              </w:rPr>
              <w:t xml:space="preserve">the </w:t>
            </w:r>
            <w:r w:rsidRPr="004976EC">
              <w:rPr>
                <w:rFonts w:asciiTheme="minorHAnsi" w:hAnsiTheme="minorHAnsi"/>
                <w:b w:val="0"/>
              </w:rPr>
              <w:t xml:space="preserve">database, how </w:t>
            </w:r>
            <w:r w:rsidR="00F87CFE" w:rsidRPr="004976EC">
              <w:rPr>
                <w:rFonts w:asciiTheme="minorHAnsi" w:hAnsiTheme="minorHAnsi"/>
                <w:b w:val="0"/>
              </w:rPr>
              <w:t xml:space="preserve">local </w:t>
            </w:r>
            <w:r w:rsidR="009967F4">
              <w:rPr>
                <w:rFonts w:asciiTheme="minorHAnsi" w:hAnsiTheme="minorHAnsi"/>
                <w:b w:val="0"/>
              </w:rPr>
              <w:t xml:space="preserve">EI </w:t>
            </w:r>
            <w:r w:rsidR="009967F4" w:rsidRPr="004976EC">
              <w:rPr>
                <w:rFonts w:asciiTheme="minorHAnsi" w:hAnsiTheme="minorHAnsi"/>
                <w:b w:val="0"/>
              </w:rPr>
              <w:t xml:space="preserve"> </w:t>
            </w:r>
            <w:r w:rsidR="00F87CFE" w:rsidRPr="004976EC">
              <w:rPr>
                <w:rFonts w:asciiTheme="minorHAnsi" w:hAnsiTheme="minorHAnsi"/>
                <w:b w:val="0"/>
              </w:rPr>
              <w:t xml:space="preserve">providers </w:t>
            </w:r>
            <w:r w:rsidRPr="004976EC">
              <w:rPr>
                <w:rFonts w:asciiTheme="minorHAnsi" w:hAnsiTheme="minorHAnsi"/>
                <w:b w:val="0"/>
              </w:rPr>
              <w:t>submit data to the state, etc.</w:t>
            </w:r>
          </w:p>
        </w:tc>
      </w:tr>
      <w:tr w:rsidR="00E2128C" w:rsidRPr="004976EC" w14:paraId="28D5C4D0" w14:textId="77777777" w:rsidTr="003C0EDA">
        <w:trPr>
          <w:cantSplit/>
        </w:trPr>
        <w:tc>
          <w:tcPr>
            <w:tcW w:w="10310" w:type="dxa"/>
            <w:tcBorders>
              <w:bottom w:val="single" w:sz="4" w:space="0" w:color="auto"/>
            </w:tcBorders>
          </w:tcPr>
          <w:p w14:paraId="5A206BD6" w14:textId="77777777" w:rsidR="00E2128C" w:rsidRPr="004976EC" w:rsidRDefault="00E2128C" w:rsidP="00980DEF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2128C" w:rsidRPr="004976EC" w14:paraId="537814E7" w14:textId="77777777" w:rsidTr="003C0EDA">
        <w:trPr>
          <w:cantSplit/>
        </w:trPr>
        <w:tc>
          <w:tcPr>
            <w:tcW w:w="10310" w:type="dxa"/>
            <w:shd w:val="clear" w:color="auto" w:fill="199387"/>
          </w:tcPr>
          <w:p w14:paraId="6B91CD26" w14:textId="7E054713" w:rsidR="00E2128C" w:rsidRPr="004976EC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Data Validation:</w:t>
            </w:r>
            <w:r w:rsidRPr="004976EC">
              <w:rPr>
                <w:rFonts w:asciiTheme="minorHAnsi" w:hAnsiTheme="minorHAnsi"/>
                <w:vertAlign w:val="superscript"/>
              </w:rPr>
              <w:t xml:space="preserve"> </w:t>
            </w:r>
            <w:r w:rsidRPr="004976EC">
              <w:rPr>
                <w:rFonts w:asciiTheme="minorHAnsi" w:hAnsiTheme="minorHAnsi"/>
                <w:b w:val="0"/>
              </w:rPr>
              <w:t>Describe the data cleaning processes used t</w:t>
            </w:r>
            <w:r w:rsidR="003B01E8" w:rsidRPr="004976EC">
              <w:rPr>
                <w:rFonts w:asciiTheme="minorHAnsi" w:hAnsiTheme="minorHAnsi"/>
                <w:b w:val="0"/>
              </w:rPr>
              <w:t>o prepare these data for submission</w:t>
            </w:r>
            <w:r w:rsidRPr="004976EC">
              <w:rPr>
                <w:rFonts w:asciiTheme="minorHAnsi" w:hAnsiTheme="minorHAnsi"/>
                <w:b w:val="0"/>
              </w:rPr>
              <w:t xml:space="preserve">. </w:t>
            </w:r>
          </w:p>
        </w:tc>
      </w:tr>
      <w:tr w:rsidR="00E2128C" w:rsidRPr="004976EC" w14:paraId="2448C5B3" w14:textId="77777777" w:rsidTr="003C0EDA">
        <w:trPr>
          <w:cantSplit/>
        </w:trPr>
        <w:tc>
          <w:tcPr>
            <w:tcW w:w="10310" w:type="dxa"/>
            <w:tcBorders>
              <w:bottom w:val="single" w:sz="4" w:space="0" w:color="auto"/>
            </w:tcBorders>
          </w:tcPr>
          <w:p w14:paraId="40C6C38D" w14:textId="77777777" w:rsidR="00E2128C" w:rsidRPr="004976EC" w:rsidRDefault="00E2128C" w:rsidP="00980DEF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2128C" w:rsidRPr="004976EC" w14:paraId="0CA50B7B" w14:textId="77777777" w:rsidTr="003C0EDA">
        <w:trPr>
          <w:cantSplit/>
        </w:trPr>
        <w:tc>
          <w:tcPr>
            <w:tcW w:w="10310" w:type="dxa"/>
            <w:shd w:val="clear" w:color="auto" w:fill="199387"/>
          </w:tcPr>
          <w:p w14:paraId="16D536D3" w14:textId="2FADB378" w:rsidR="00E2128C" w:rsidRPr="004976EC" w:rsidRDefault="00E2128C" w:rsidP="00980DEF">
            <w:pPr>
              <w:pStyle w:val="SL-FlLftSgl"/>
              <w:rPr>
                <w:rFonts w:asciiTheme="minorHAnsi" w:hAnsiTheme="minorHAnsi"/>
                <w:i/>
              </w:rPr>
            </w:pPr>
            <w:r w:rsidRPr="004976EC">
              <w:rPr>
                <w:rFonts w:asciiTheme="minorHAnsi" w:hAnsiTheme="minorHAnsi"/>
              </w:rPr>
              <w:t xml:space="preserve">Internal Approval Process: </w:t>
            </w:r>
            <w:r w:rsidRPr="004976EC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4976EC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who must sign off and timelines).</w:t>
            </w:r>
            <w:r w:rsidRPr="004976EC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4976EC" w14:paraId="10A16DE1" w14:textId="77777777" w:rsidTr="003C0EDA">
        <w:trPr>
          <w:cantSplit/>
          <w:trHeight w:val="442"/>
        </w:trPr>
        <w:tc>
          <w:tcPr>
            <w:tcW w:w="10310" w:type="dxa"/>
            <w:tcBorders>
              <w:bottom w:val="single" w:sz="4" w:space="0" w:color="auto"/>
            </w:tcBorders>
          </w:tcPr>
          <w:p w14:paraId="32B62475" w14:textId="77777777" w:rsidR="00E2128C" w:rsidRPr="004976EC" w:rsidRDefault="00E2128C" w:rsidP="00980DEF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2128C" w:rsidRPr="004976EC" w14:paraId="6F8CB252" w14:textId="77777777" w:rsidTr="003C0EDA">
        <w:trPr>
          <w:cantSplit/>
        </w:trPr>
        <w:tc>
          <w:tcPr>
            <w:tcW w:w="10310" w:type="dxa"/>
            <w:shd w:val="clear" w:color="auto" w:fill="199387"/>
          </w:tcPr>
          <w:p w14:paraId="1C010E42" w14:textId="6893B751" w:rsidR="00E2128C" w:rsidRPr="004976EC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Submission:</w:t>
            </w:r>
            <w:r w:rsidRPr="004976EC">
              <w:rPr>
                <w:rStyle w:val="FootnoteReference"/>
                <w:rFonts w:asciiTheme="minorHAnsi" w:hAnsiTheme="minorHAnsi"/>
              </w:rPr>
              <w:footnoteReference w:id="4"/>
            </w:r>
            <w:r w:rsidRPr="004976EC">
              <w:rPr>
                <w:rFonts w:asciiTheme="minorHAnsi" w:hAnsiTheme="minorHAnsi"/>
              </w:rPr>
              <w:t xml:space="preserve"> </w:t>
            </w:r>
            <w:r w:rsidR="00E034E6" w:rsidRPr="004976EC">
              <w:rPr>
                <w:rFonts w:asciiTheme="minorHAnsi" w:hAnsiTheme="minorHAnsi"/>
                <w:b w:val="0"/>
              </w:rPr>
              <w:t xml:space="preserve">Describe process </w:t>
            </w:r>
            <w:r w:rsidR="003E563F" w:rsidRPr="004976EC">
              <w:rPr>
                <w:rFonts w:asciiTheme="minorHAnsi" w:hAnsiTheme="minorHAnsi"/>
                <w:b w:val="0"/>
              </w:rPr>
              <w:t>for generating</w:t>
            </w:r>
            <w:r w:rsidR="00E034E6" w:rsidRPr="004976EC">
              <w:rPr>
                <w:rFonts w:asciiTheme="minorHAnsi" w:hAnsiTheme="minorHAnsi"/>
                <w:b w:val="0"/>
              </w:rPr>
              <w:t xml:space="preserve"> and submitting the </w:t>
            </w:r>
            <w:r w:rsidR="006D243B" w:rsidRPr="004976EC">
              <w:rPr>
                <w:rFonts w:asciiTheme="minorHAnsi" w:hAnsiTheme="minorHAnsi"/>
                <w:b w:val="0"/>
              </w:rPr>
              <w:t xml:space="preserve">data to </w:t>
            </w:r>
            <w:r w:rsidR="00E034E6" w:rsidRPr="004976EC">
              <w:rPr>
                <w:rFonts w:asciiTheme="minorHAnsi" w:hAnsiTheme="minorHAnsi"/>
                <w:b w:val="0"/>
              </w:rPr>
              <w:t>E</w:t>
            </w:r>
            <w:r w:rsidR="006D243B" w:rsidRPr="004976EC">
              <w:rPr>
                <w:rFonts w:asciiTheme="minorHAnsi" w:hAnsiTheme="minorHAnsi"/>
                <w:b w:val="0"/>
                <w:i/>
              </w:rPr>
              <w:t>MAPS</w:t>
            </w:r>
            <w:r w:rsidR="00E034E6" w:rsidRPr="004976EC">
              <w:rPr>
                <w:rFonts w:asciiTheme="minorHAnsi" w:hAnsiTheme="minorHAnsi"/>
                <w:b w:val="0"/>
              </w:rPr>
              <w:t>.</w:t>
            </w:r>
          </w:p>
        </w:tc>
      </w:tr>
      <w:tr w:rsidR="00E2128C" w:rsidRPr="004976EC" w14:paraId="74C443EB" w14:textId="77777777" w:rsidTr="003C0EDA">
        <w:trPr>
          <w:cantSplit/>
        </w:trPr>
        <w:tc>
          <w:tcPr>
            <w:tcW w:w="10310" w:type="dxa"/>
            <w:tcBorders>
              <w:bottom w:val="single" w:sz="4" w:space="0" w:color="auto"/>
            </w:tcBorders>
          </w:tcPr>
          <w:p w14:paraId="03A1E469" w14:textId="77777777" w:rsidR="00E2128C" w:rsidRPr="004976EC" w:rsidRDefault="00E2128C" w:rsidP="00980DEF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2128C" w:rsidRPr="004976EC" w14:paraId="3194AF47" w14:textId="77777777" w:rsidTr="003C0EDA">
        <w:trPr>
          <w:cantSplit/>
        </w:trPr>
        <w:tc>
          <w:tcPr>
            <w:tcW w:w="10310" w:type="dxa"/>
            <w:shd w:val="clear" w:color="auto" w:fill="199387"/>
          </w:tcPr>
          <w:p w14:paraId="286E7BEB" w14:textId="4E16DB5D" w:rsidR="00E2128C" w:rsidRPr="004976EC" w:rsidRDefault="00E2128C" w:rsidP="00E034E6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Respo</w:t>
            </w:r>
            <w:r w:rsidR="00E034E6" w:rsidRPr="004976EC">
              <w:rPr>
                <w:rFonts w:asciiTheme="minorHAnsi" w:hAnsiTheme="minorHAnsi"/>
              </w:rPr>
              <w:t>nse to OSEP Data Quality Report:</w:t>
            </w:r>
            <w:r w:rsidRPr="004976EC">
              <w:rPr>
                <w:rStyle w:val="FootnoteReference"/>
                <w:rFonts w:asciiTheme="minorHAnsi" w:hAnsiTheme="minorHAnsi"/>
              </w:rPr>
              <w:footnoteReference w:id="5"/>
            </w:r>
            <w:r w:rsidRPr="004976EC">
              <w:rPr>
                <w:rFonts w:asciiTheme="minorHAnsi" w:hAnsiTheme="minorHAnsi"/>
              </w:rPr>
              <w:t xml:space="preserve"> </w:t>
            </w:r>
            <w:r w:rsidRPr="004976EC">
              <w:rPr>
                <w:rFonts w:asciiTheme="minorHAnsi" w:hAnsiTheme="minorHAnsi"/>
                <w:b w:val="0"/>
              </w:rPr>
              <w:t>Describe the procedures for reviewing OSEP feedback and submitting a data note or resubmitting data files.</w:t>
            </w:r>
          </w:p>
        </w:tc>
      </w:tr>
      <w:tr w:rsidR="00E2128C" w:rsidRPr="004976EC" w14:paraId="31A7D9FC" w14:textId="77777777" w:rsidTr="003C0EDA">
        <w:trPr>
          <w:cantSplit/>
        </w:trPr>
        <w:tc>
          <w:tcPr>
            <w:tcW w:w="10310" w:type="dxa"/>
            <w:tcBorders>
              <w:bottom w:val="single" w:sz="4" w:space="0" w:color="auto"/>
            </w:tcBorders>
          </w:tcPr>
          <w:p w14:paraId="30150685" w14:textId="77777777" w:rsidR="00E2128C" w:rsidRPr="004976EC" w:rsidRDefault="00E2128C" w:rsidP="00980DEF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2128C" w:rsidRPr="004976EC" w14:paraId="4BDCD364" w14:textId="77777777" w:rsidTr="003C0EDA">
        <w:trPr>
          <w:cantSplit/>
        </w:trPr>
        <w:tc>
          <w:tcPr>
            <w:tcW w:w="10310" w:type="dxa"/>
            <w:shd w:val="clear" w:color="auto" w:fill="199387"/>
          </w:tcPr>
          <w:p w14:paraId="0F625ED5" w14:textId="77777777" w:rsidR="00E2128C" w:rsidRPr="004976EC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Data Governance: </w:t>
            </w:r>
            <w:r w:rsidRPr="004976EC">
              <w:rPr>
                <w:rFonts w:asciiTheme="minorHAnsi" w:hAnsiTheme="minorHAnsi"/>
                <w:b w:val="0"/>
              </w:rPr>
              <w:t xml:space="preserve">Describe the process for reviewing potential or actual future changes to the data collection and associated requirements. </w:t>
            </w:r>
          </w:p>
        </w:tc>
      </w:tr>
      <w:tr w:rsidR="00E2128C" w:rsidRPr="004976EC" w14:paraId="1B420A9D" w14:textId="77777777" w:rsidTr="003C0EDA">
        <w:trPr>
          <w:cantSplit/>
        </w:trPr>
        <w:tc>
          <w:tcPr>
            <w:tcW w:w="10310" w:type="dxa"/>
          </w:tcPr>
          <w:p w14:paraId="71A67E23" w14:textId="77777777" w:rsidR="00E2128C" w:rsidRPr="004976EC" w:rsidRDefault="00E2128C" w:rsidP="00980DEF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3C0EDA" w:rsidRPr="004976EC" w14:paraId="31410EFC" w14:textId="77777777" w:rsidTr="003C0EDA">
        <w:trPr>
          <w:cantSplit/>
        </w:trPr>
        <w:tc>
          <w:tcPr>
            <w:tcW w:w="10310" w:type="dxa"/>
            <w:shd w:val="clear" w:color="auto" w:fill="199387"/>
          </w:tcPr>
          <w:p w14:paraId="051928DB" w14:textId="40D35101" w:rsidR="003C0EDA" w:rsidRPr="003C0EDA" w:rsidRDefault="003C0EDA" w:rsidP="003C0EDA">
            <w:pPr>
              <w:pStyle w:val="L1-FlLSp12"/>
              <w:rPr>
                <w:rFonts w:asciiTheme="minorHAnsi" w:hAnsiTheme="minorHAnsi"/>
              </w:rPr>
            </w:pPr>
            <w:r w:rsidRPr="003C0EDA">
              <w:rPr>
                <w:rFonts w:asciiTheme="minorHAnsi" w:hAnsiTheme="minorHAnsi"/>
                <w:b/>
                <w:bCs/>
                <w:color w:val="FFFFFF" w:themeColor="background1"/>
              </w:rPr>
              <w:t>Public Reporting:</w:t>
            </w:r>
            <w:r w:rsidRPr="003C0EDA">
              <w:rPr>
                <w:rFonts w:asciiTheme="minorHAnsi" w:hAnsiTheme="minorHAnsi"/>
                <w:color w:val="FFFFFF" w:themeColor="background1"/>
              </w:rPr>
              <w:t xml:space="preserve"> Describe the process and location for posting state level data for public reporting. </w:t>
            </w:r>
          </w:p>
        </w:tc>
      </w:tr>
      <w:tr w:rsidR="003C0EDA" w:rsidRPr="004976EC" w14:paraId="217ED71B" w14:textId="77777777" w:rsidTr="003C0EDA">
        <w:trPr>
          <w:cantSplit/>
        </w:trPr>
        <w:tc>
          <w:tcPr>
            <w:tcW w:w="10310" w:type="dxa"/>
          </w:tcPr>
          <w:p w14:paraId="3D4880B8" w14:textId="77777777" w:rsidR="003C0EDA" w:rsidRPr="004976EC" w:rsidRDefault="003C0EDA" w:rsidP="003C0EDA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</w:tbl>
    <w:p w14:paraId="5CF7E8BC" w14:textId="77777777" w:rsidR="001F1397" w:rsidRPr="004976EC" w:rsidRDefault="001F1397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1F1397" w:rsidRPr="004976EC" w:rsidSect="00CB2AF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7B5CF" w14:textId="77777777" w:rsidR="00850D5D" w:rsidRDefault="00850D5D">
      <w:pPr>
        <w:spacing w:line="240" w:lineRule="auto"/>
      </w:pPr>
      <w:r>
        <w:separator/>
      </w:r>
    </w:p>
  </w:endnote>
  <w:endnote w:type="continuationSeparator" w:id="0">
    <w:p w14:paraId="3FA262C4" w14:textId="77777777" w:rsidR="00850D5D" w:rsidRDefault="00850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CFE3F" w14:textId="1CDB9357" w:rsidR="00CB2AF5" w:rsidRPr="00200111" w:rsidRDefault="00CB2AF5" w:rsidP="00CB2AF5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Pr="00200111">
        <w:rPr>
          <w:color w:val="4D4D4F"/>
        </w:rPr>
        <w:t>www.ideadata.org</w:t>
      </w:r>
    </w:hyperlink>
    <w:r w:rsidRPr="00200111">
      <w:rPr>
        <w:color w:val="4D4D4F"/>
      </w:rPr>
      <w:tab/>
    </w:r>
    <w:r w:rsidRPr="00200111">
      <w:rPr>
        <w:color w:val="4D4D4F"/>
      </w:rPr>
      <w:fldChar w:fldCharType="begin"/>
    </w:r>
    <w:r w:rsidRPr="00200111">
      <w:rPr>
        <w:color w:val="4D4D4F"/>
      </w:rPr>
      <w:instrText xml:space="preserve"> PAGE   \* MERGEFORMAT </w:instrText>
    </w:r>
    <w:r w:rsidRPr="00200111">
      <w:rPr>
        <w:color w:val="4D4D4F"/>
      </w:rPr>
      <w:fldChar w:fldCharType="separate"/>
    </w:r>
    <w:r>
      <w:rPr>
        <w:noProof/>
        <w:color w:val="4D4D4F"/>
      </w:rPr>
      <w:t>3</w:t>
    </w:r>
    <w:r w:rsidRPr="00200111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E48A" w14:textId="72ACFAFD" w:rsidR="00CB2AF5" w:rsidRPr="00200111" w:rsidRDefault="00CB2AF5" w:rsidP="00CB2AF5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Pr="00200111">
        <w:rPr>
          <w:color w:val="4D4D4F"/>
        </w:rPr>
        <w:t>www.ideadata.org</w:t>
      </w:r>
    </w:hyperlink>
    <w:r w:rsidRPr="00200111">
      <w:rPr>
        <w:color w:val="4D4D4F"/>
      </w:rPr>
      <w:tab/>
    </w:r>
    <w:r w:rsidRPr="00200111">
      <w:rPr>
        <w:color w:val="4D4D4F"/>
      </w:rPr>
      <w:fldChar w:fldCharType="begin"/>
    </w:r>
    <w:r w:rsidRPr="00200111">
      <w:rPr>
        <w:color w:val="4D4D4F"/>
      </w:rPr>
      <w:instrText xml:space="preserve"> PAGE   \* MERGEFORMAT </w:instrText>
    </w:r>
    <w:r w:rsidRPr="00200111">
      <w:rPr>
        <w:color w:val="4D4D4F"/>
      </w:rPr>
      <w:fldChar w:fldCharType="separate"/>
    </w:r>
    <w:r>
      <w:rPr>
        <w:noProof/>
        <w:color w:val="4D4D4F"/>
      </w:rPr>
      <w:t>1</w:t>
    </w:r>
    <w:r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4099B" w14:textId="430428E4" w:rsidR="00850D5D" w:rsidRPr="001F1397" w:rsidRDefault="00850D5D" w:rsidP="001F1397">
      <w:pPr>
        <w:pStyle w:val="Footer"/>
      </w:pPr>
      <w:r>
        <w:separator/>
      </w:r>
    </w:p>
  </w:footnote>
  <w:footnote w:type="continuationSeparator" w:id="0">
    <w:p w14:paraId="78C3EB49" w14:textId="77777777" w:rsidR="00850D5D" w:rsidRPr="006328B1" w:rsidRDefault="00850D5D" w:rsidP="008E637E">
      <w:pPr>
        <w:pStyle w:val="Footer"/>
      </w:pPr>
    </w:p>
  </w:footnote>
  <w:footnote w:type="continuationNotice" w:id="1">
    <w:p w14:paraId="4957BA33" w14:textId="77777777" w:rsidR="00850D5D" w:rsidRPr="006328B1" w:rsidRDefault="00850D5D" w:rsidP="008E637E">
      <w:pPr>
        <w:pStyle w:val="Footer"/>
      </w:pPr>
    </w:p>
  </w:footnote>
  <w:footnote w:id="2">
    <w:p w14:paraId="1B8449F7" w14:textId="4100C944" w:rsidR="00850D5D" w:rsidRDefault="00850D5D" w:rsidP="00C22CF3">
      <w:pPr>
        <w:pStyle w:val="FootnoteText"/>
      </w:pPr>
      <w:r>
        <w:rPr>
          <w:rStyle w:val="FootnoteReference"/>
        </w:rPr>
        <w:footnoteRef/>
      </w:r>
      <w:r w:rsidR="00BB552E">
        <w:tab/>
      </w:r>
      <w:r>
        <w:t xml:space="preserve">LAs should be aware if their state has adopted Part C or B Due Process Complaint procedures. The data </w:t>
      </w:r>
      <w:proofErr w:type="gramStart"/>
      <w:r>
        <w:t>are reported</w:t>
      </w:r>
      <w:proofErr w:type="gramEnd"/>
      <w:r>
        <w:t xml:space="preserve"> differently for states that have adopted Part B Due Process Complaint procedures. States with Part C procedures will report the following sub-categories:  </w:t>
      </w:r>
      <w:r w:rsidR="009967F4">
        <w:t>h</w:t>
      </w:r>
      <w:r>
        <w:t xml:space="preserve">earings fully </w:t>
      </w:r>
      <w:proofErr w:type="gramStart"/>
      <w:r>
        <w:t>adjudicated,</w:t>
      </w:r>
      <w:proofErr w:type="gramEnd"/>
      <w:r>
        <w:t xml:space="preserve"> decisions within timeline, decisions within extended timeline, hearings pending, and due process complaints withdrawn or dismissed. States with Part B procedures will report by the same sub-categories with the addition of resolution meetings and writte</w:t>
      </w:r>
      <w:bookmarkStart w:id="0" w:name="_GoBack"/>
      <w:bookmarkEnd w:id="0"/>
      <w:r>
        <w:t>n settlement agreements reached through resolution meetings.</w:t>
      </w:r>
    </w:p>
  </w:footnote>
  <w:footnote w:id="3">
    <w:p w14:paraId="07211FE1" w14:textId="15A9D461" w:rsidR="00850D5D" w:rsidRPr="00980DEF" w:rsidRDefault="00850D5D" w:rsidP="00980DEF">
      <w:pPr>
        <w:pStyle w:val="FootnoteText"/>
      </w:pPr>
      <w:r w:rsidRPr="00163C0D">
        <w:rPr>
          <w:rStyle w:val="FootnoteReference"/>
          <w:rFonts w:ascii="Calibri Light" w:hAnsi="Calibri Light"/>
        </w:rPr>
        <w:footnoteRef/>
      </w:r>
      <w:r w:rsidRPr="00163C0D">
        <w:t xml:space="preserve"> </w:t>
      </w:r>
      <w:r w:rsidRPr="00163C0D">
        <w:rPr>
          <w:b/>
        </w:rPr>
        <w:t>State Collection</w:t>
      </w:r>
      <w:r>
        <w:rPr>
          <w:b/>
        </w:rPr>
        <w:t xml:space="preserve"> and </w:t>
      </w:r>
      <w:r w:rsidRPr="00163C0D">
        <w:rPr>
          <w:b/>
        </w:rPr>
        <w:t>Subm</w:t>
      </w:r>
      <w:r w:rsidRPr="00053082">
        <w:rPr>
          <w:b/>
        </w:rPr>
        <w:t>ission Schedule—</w:t>
      </w:r>
      <w:r w:rsidRPr="00053082">
        <w:t>Report only the actions initiated during the reporting year. Do NOT include actions initiated in a previous reporting year that continued into the current reporting year.</w:t>
      </w:r>
    </w:p>
  </w:footnote>
  <w:footnote w:id="4">
    <w:p w14:paraId="43ADEA16" w14:textId="32ACFE99" w:rsidR="00850D5D" w:rsidRPr="00980DEF" w:rsidRDefault="00850D5D" w:rsidP="00980DEF">
      <w:pPr>
        <w:pStyle w:val="FootnoteText"/>
      </w:pPr>
      <w:r w:rsidRPr="00FB5B6D">
        <w:rPr>
          <w:rStyle w:val="FootnoteReference"/>
        </w:rPr>
        <w:footnoteRef/>
      </w:r>
      <w:r w:rsidR="00BB552E">
        <w:rPr>
          <w:b/>
        </w:rPr>
        <w:tab/>
      </w:r>
      <w:r w:rsidRPr="0062618B">
        <w:rPr>
          <w:b/>
        </w:rPr>
        <w:t>Submission</w:t>
      </w:r>
      <w:r w:rsidRPr="009621B1">
        <w:t>—</w:t>
      </w:r>
      <w:r w:rsidRPr="007462DC">
        <w:t>Describe where and how a copy of the submitted E</w:t>
      </w:r>
      <w:r w:rsidRPr="005A7C23">
        <w:rPr>
          <w:i/>
        </w:rPr>
        <w:t>MAPS</w:t>
      </w:r>
      <w:r w:rsidRPr="007462DC">
        <w:rPr>
          <w:i/>
        </w:rPr>
        <w:t xml:space="preserve"> </w:t>
      </w:r>
      <w:r w:rsidRPr="005A7C23">
        <w:t>data</w:t>
      </w:r>
      <w:r>
        <w:rPr>
          <w:i/>
        </w:rPr>
        <w:t xml:space="preserve"> </w:t>
      </w:r>
      <w:proofErr w:type="gramStart"/>
      <w:r w:rsidRPr="007462DC">
        <w:t>is accessed</w:t>
      </w:r>
      <w:proofErr w:type="gramEnd"/>
      <w:r w:rsidRPr="007462DC">
        <w:t xml:space="preserve"> for futur</w:t>
      </w:r>
      <w:r>
        <w:t>e reference.</w:t>
      </w:r>
    </w:p>
  </w:footnote>
  <w:footnote w:id="5">
    <w:p w14:paraId="01FA315A" w14:textId="2323EE52" w:rsidR="00850D5D" w:rsidRPr="00EE2461" w:rsidRDefault="00850D5D" w:rsidP="00980DEF">
      <w:pPr>
        <w:pStyle w:val="FootnoteText"/>
      </w:pPr>
      <w:r w:rsidRPr="00053082">
        <w:rPr>
          <w:rStyle w:val="FootnoteReference"/>
          <w:rFonts w:ascii="Calibri Light" w:hAnsi="Calibri Light"/>
        </w:rPr>
        <w:footnoteRef/>
      </w:r>
      <w:r w:rsidR="00BB552E">
        <w:rPr>
          <w:b/>
        </w:rPr>
        <w:tab/>
      </w:r>
      <w:r w:rsidRPr="00053082">
        <w:rPr>
          <w:b/>
        </w:rPr>
        <w:t>Response to OSEP Data Quality Repor</w:t>
      </w:r>
      <w:r>
        <w:rPr>
          <w:b/>
        </w:rPr>
        <w:t>t</w:t>
      </w:r>
      <w:r w:rsidRPr="00053082">
        <w:rPr>
          <w:b/>
        </w:rPr>
        <w:t>—</w:t>
      </w:r>
      <w:r w:rsidRPr="00053082">
        <w:t xml:space="preserve">OSEP reviews IDEA data submissions for timeliness, completeness, and accuracy and provides feedback via OMB Max. Following collection due dates, OSEP posts a data quality report to each </w:t>
      </w:r>
      <w:r>
        <w:t>L</w:t>
      </w:r>
      <w:r w:rsidRPr="00053082">
        <w:t>A</w:t>
      </w:r>
      <w:r>
        <w:t>’</w:t>
      </w:r>
      <w:r w:rsidRPr="00053082">
        <w:t xml:space="preserve">s individual OMB Max webpage. </w:t>
      </w:r>
      <w:r>
        <w:t>L</w:t>
      </w:r>
      <w:r w:rsidRPr="00053082">
        <w:t>As then review the data quality report and respond as necessary (e.g., submit data notes, resubmit data).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B99B" w14:textId="77777777" w:rsidR="00BB552E" w:rsidRPr="00A30926" w:rsidRDefault="00BB552E" w:rsidP="00BB552E">
    <w:pPr>
      <w:pStyle w:val="Header"/>
      <w:pBdr>
        <w:bottom w:val="none" w:sz="0" w:space="0" w:color="auto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EC3703" wp14:editId="190767C7">
          <wp:simplePos x="0" y="0"/>
          <wp:positionH relativeFrom="margin">
            <wp:posOffset>5141595</wp:posOffset>
          </wp:positionH>
          <wp:positionV relativeFrom="margin">
            <wp:posOffset>-1170940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</w:rPr>
      <w:t>Part C IDEA</w:t>
    </w:r>
    <w:r w:rsidRPr="00A30926">
      <w:rPr>
        <w:color w:val="000000" w:themeColor="text1"/>
      </w:rPr>
      <w:t xml:space="preserve"> Data Processes Toolkit</w:t>
    </w:r>
  </w:p>
  <w:p w14:paraId="1E3439AE" w14:textId="77777777" w:rsidR="00BB552E" w:rsidRDefault="00BB552E" w:rsidP="00BB552E">
    <w:pPr>
      <w:pStyle w:val="SL-FlLftSgl"/>
    </w:pPr>
  </w:p>
  <w:p w14:paraId="7EA149CF" w14:textId="1E0E1B26" w:rsidR="00850D5D" w:rsidRPr="00F57DEF" w:rsidRDefault="00850D5D" w:rsidP="00BB552E">
    <w:pPr>
      <w:pStyle w:val="Header"/>
      <w:pBdr>
        <w:bottom w:val="single" w:sz="18" w:space="8" w:color="065D8B"/>
      </w:pBdr>
      <w:spacing w:line="240" w:lineRule="atLeast"/>
      <w:jc w:val="center"/>
      <w:rPr>
        <w:color w:val="105D89"/>
        <w:sz w:val="32"/>
        <w:szCs w:val="32"/>
      </w:rPr>
    </w:pPr>
    <w:r w:rsidRPr="00F57DEF">
      <w:rPr>
        <w:color w:val="105D89"/>
        <w:sz w:val="32"/>
        <w:szCs w:val="32"/>
      </w:rPr>
      <w:t>Data Collection Protocol—DISPUTE RESOLUTION</w:t>
    </w:r>
  </w:p>
  <w:p w14:paraId="589435D0" w14:textId="77777777" w:rsidR="00850D5D" w:rsidRDefault="00850D5D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B90E" w14:textId="4F7EA6EB" w:rsidR="00850D5D" w:rsidRDefault="00BB552E" w:rsidP="00BB552E">
    <w:pPr>
      <w:pStyle w:val="C2-CtrSglSp"/>
      <w:spacing w:after="240"/>
      <w:ind w:left="-187"/>
    </w:pPr>
    <w:r>
      <w:rPr>
        <w:noProof/>
      </w:rPr>
      <w:drawing>
        <wp:inline distT="0" distB="0" distL="0" distR="0" wp14:anchorId="48D66940" wp14:editId="1D3AEF09">
          <wp:extent cx="6400800" cy="1511935"/>
          <wp:effectExtent l="0" t="0" r="0" b="0"/>
          <wp:docPr id="1" name="Picture 1" descr="Part C IDEA Data Processes Toolkit&#10;Protocol&#10;Dispute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 Dispute 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7D3A"/>
    <w:rsid w:val="00080FD0"/>
    <w:rsid w:val="00082366"/>
    <w:rsid w:val="00082EBD"/>
    <w:rsid w:val="00086E71"/>
    <w:rsid w:val="00087B34"/>
    <w:rsid w:val="00091A23"/>
    <w:rsid w:val="00097151"/>
    <w:rsid w:val="000971F0"/>
    <w:rsid w:val="000A25DF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45D3"/>
    <w:rsid w:val="00133B21"/>
    <w:rsid w:val="00134EFB"/>
    <w:rsid w:val="0014106F"/>
    <w:rsid w:val="00142E81"/>
    <w:rsid w:val="001468D5"/>
    <w:rsid w:val="00147A8B"/>
    <w:rsid w:val="00147D20"/>
    <w:rsid w:val="0015291E"/>
    <w:rsid w:val="00152B01"/>
    <w:rsid w:val="00153D71"/>
    <w:rsid w:val="00156208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419"/>
    <w:rsid w:val="0022519E"/>
    <w:rsid w:val="0022657F"/>
    <w:rsid w:val="0022688E"/>
    <w:rsid w:val="00227F52"/>
    <w:rsid w:val="00235855"/>
    <w:rsid w:val="00240C22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5CCA"/>
    <w:rsid w:val="002A6821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B8E"/>
    <w:rsid w:val="0034084C"/>
    <w:rsid w:val="0034104F"/>
    <w:rsid w:val="00342BE9"/>
    <w:rsid w:val="00344478"/>
    <w:rsid w:val="00345907"/>
    <w:rsid w:val="0036015E"/>
    <w:rsid w:val="00366DF1"/>
    <w:rsid w:val="00366E6E"/>
    <w:rsid w:val="00367B01"/>
    <w:rsid w:val="00370B5A"/>
    <w:rsid w:val="003761FE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0EDA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A77"/>
    <w:rsid w:val="004273F4"/>
    <w:rsid w:val="00427651"/>
    <w:rsid w:val="00427E24"/>
    <w:rsid w:val="00430B48"/>
    <w:rsid w:val="00431DB8"/>
    <w:rsid w:val="004364D2"/>
    <w:rsid w:val="004370C1"/>
    <w:rsid w:val="00440E0E"/>
    <w:rsid w:val="00443F68"/>
    <w:rsid w:val="00450747"/>
    <w:rsid w:val="0045428D"/>
    <w:rsid w:val="004558E4"/>
    <w:rsid w:val="00462535"/>
    <w:rsid w:val="004660B2"/>
    <w:rsid w:val="00466EA4"/>
    <w:rsid w:val="0047041E"/>
    <w:rsid w:val="004762B0"/>
    <w:rsid w:val="00481DB2"/>
    <w:rsid w:val="00484DAF"/>
    <w:rsid w:val="0048700B"/>
    <w:rsid w:val="00493E51"/>
    <w:rsid w:val="004976EC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4F4243"/>
    <w:rsid w:val="005019B6"/>
    <w:rsid w:val="005021DA"/>
    <w:rsid w:val="005024F5"/>
    <w:rsid w:val="0050714F"/>
    <w:rsid w:val="00510CA1"/>
    <w:rsid w:val="00515FAD"/>
    <w:rsid w:val="00517BD9"/>
    <w:rsid w:val="00520882"/>
    <w:rsid w:val="00521630"/>
    <w:rsid w:val="00523E84"/>
    <w:rsid w:val="00525717"/>
    <w:rsid w:val="005265AD"/>
    <w:rsid w:val="00530722"/>
    <w:rsid w:val="00542203"/>
    <w:rsid w:val="0054719E"/>
    <w:rsid w:val="00547DAF"/>
    <w:rsid w:val="00552D61"/>
    <w:rsid w:val="005547B9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46C0"/>
    <w:rsid w:val="005A60E3"/>
    <w:rsid w:val="005A6BFA"/>
    <w:rsid w:val="005A7C23"/>
    <w:rsid w:val="005B03F8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7A6C"/>
    <w:rsid w:val="00651022"/>
    <w:rsid w:val="006521E4"/>
    <w:rsid w:val="00657C24"/>
    <w:rsid w:val="00660A84"/>
    <w:rsid w:val="00666087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2C4C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678C"/>
    <w:rsid w:val="006B7CE7"/>
    <w:rsid w:val="006C1BD4"/>
    <w:rsid w:val="006C3FAF"/>
    <w:rsid w:val="006C650F"/>
    <w:rsid w:val="006D243B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337A"/>
    <w:rsid w:val="007252F3"/>
    <w:rsid w:val="00727EBF"/>
    <w:rsid w:val="007304BD"/>
    <w:rsid w:val="00731A44"/>
    <w:rsid w:val="007332FB"/>
    <w:rsid w:val="00733FAE"/>
    <w:rsid w:val="0074118B"/>
    <w:rsid w:val="00741FAB"/>
    <w:rsid w:val="0074389B"/>
    <w:rsid w:val="00743AD6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C0946"/>
    <w:rsid w:val="007C2D80"/>
    <w:rsid w:val="007C31AE"/>
    <w:rsid w:val="007C4B88"/>
    <w:rsid w:val="007D05B9"/>
    <w:rsid w:val="007E2327"/>
    <w:rsid w:val="007E401F"/>
    <w:rsid w:val="007E4B3E"/>
    <w:rsid w:val="007F0FA9"/>
    <w:rsid w:val="007F32E5"/>
    <w:rsid w:val="007F34EF"/>
    <w:rsid w:val="008062FD"/>
    <w:rsid w:val="00806CB4"/>
    <w:rsid w:val="0081148C"/>
    <w:rsid w:val="00820300"/>
    <w:rsid w:val="00820C97"/>
    <w:rsid w:val="00822378"/>
    <w:rsid w:val="00822CC9"/>
    <w:rsid w:val="00823CB4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7519"/>
    <w:rsid w:val="008478CF"/>
    <w:rsid w:val="00850A8B"/>
    <w:rsid w:val="00850D5D"/>
    <w:rsid w:val="00853518"/>
    <w:rsid w:val="00853851"/>
    <w:rsid w:val="008551A5"/>
    <w:rsid w:val="008562F2"/>
    <w:rsid w:val="0085758C"/>
    <w:rsid w:val="0086324B"/>
    <w:rsid w:val="0086444A"/>
    <w:rsid w:val="0086651E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3CAE"/>
    <w:rsid w:val="008C5D00"/>
    <w:rsid w:val="008C6B17"/>
    <w:rsid w:val="008D11CF"/>
    <w:rsid w:val="008D1C6A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1A4E"/>
    <w:rsid w:val="0090360D"/>
    <w:rsid w:val="00903CF5"/>
    <w:rsid w:val="00905CDF"/>
    <w:rsid w:val="00907B93"/>
    <w:rsid w:val="00914D9F"/>
    <w:rsid w:val="0091759D"/>
    <w:rsid w:val="00920C87"/>
    <w:rsid w:val="00923737"/>
    <w:rsid w:val="00923C66"/>
    <w:rsid w:val="009241D0"/>
    <w:rsid w:val="00924626"/>
    <w:rsid w:val="0092620F"/>
    <w:rsid w:val="00933EF8"/>
    <w:rsid w:val="009355F7"/>
    <w:rsid w:val="0093635C"/>
    <w:rsid w:val="00936A7F"/>
    <w:rsid w:val="00940319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2616"/>
    <w:rsid w:val="00992641"/>
    <w:rsid w:val="009943A4"/>
    <w:rsid w:val="009967F4"/>
    <w:rsid w:val="009A18D5"/>
    <w:rsid w:val="009A190F"/>
    <w:rsid w:val="009A77B6"/>
    <w:rsid w:val="009B0A84"/>
    <w:rsid w:val="009B1B09"/>
    <w:rsid w:val="009B6D7E"/>
    <w:rsid w:val="009C34B0"/>
    <w:rsid w:val="009C3A30"/>
    <w:rsid w:val="009C4A8A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684B"/>
    <w:rsid w:val="009E79CC"/>
    <w:rsid w:val="009F3CC3"/>
    <w:rsid w:val="009F57C3"/>
    <w:rsid w:val="00A0228D"/>
    <w:rsid w:val="00A036DD"/>
    <w:rsid w:val="00A106D4"/>
    <w:rsid w:val="00A11D21"/>
    <w:rsid w:val="00A14160"/>
    <w:rsid w:val="00A15E42"/>
    <w:rsid w:val="00A165E0"/>
    <w:rsid w:val="00A20E2A"/>
    <w:rsid w:val="00A23806"/>
    <w:rsid w:val="00A247F1"/>
    <w:rsid w:val="00A254A3"/>
    <w:rsid w:val="00A25503"/>
    <w:rsid w:val="00A26E08"/>
    <w:rsid w:val="00A306E7"/>
    <w:rsid w:val="00A3528C"/>
    <w:rsid w:val="00A375CE"/>
    <w:rsid w:val="00A408F5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104B"/>
    <w:rsid w:val="00A91C5A"/>
    <w:rsid w:val="00A92635"/>
    <w:rsid w:val="00AA30C2"/>
    <w:rsid w:val="00AB4EE8"/>
    <w:rsid w:val="00AB603E"/>
    <w:rsid w:val="00AB60EF"/>
    <w:rsid w:val="00AB7EB6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03C6"/>
    <w:rsid w:val="00AE1438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244"/>
    <w:rsid w:val="00B32633"/>
    <w:rsid w:val="00B33B75"/>
    <w:rsid w:val="00B41191"/>
    <w:rsid w:val="00B43A11"/>
    <w:rsid w:val="00B46658"/>
    <w:rsid w:val="00B46AD5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801A0"/>
    <w:rsid w:val="00B84D69"/>
    <w:rsid w:val="00B85B5F"/>
    <w:rsid w:val="00B86212"/>
    <w:rsid w:val="00B90BCF"/>
    <w:rsid w:val="00B9633C"/>
    <w:rsid w:val="00B9677F"/>
    <w:rsid w:val="00BA4999"/>
    <w:rsid w:val="00BB06E9"/>
    <w:rsid w:val="00BB41A3"/>
    <w:rsid w:val="00BB552E"/>
    <w:rsid w:val="00BB6A54"/>
    <w:rsid w:val="00BC1C91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74BD"/>
    <w:rsid w:val="00C41ADD"/>
    <w:rsid w:val="00C44186"/>
    <w:rsid w:val="00C4638A"/>
    <w:rsid w:val="00C4710C"/>
    <w:rsid w:val="00C50612"/>
    <w:rsid w:val="00C61ED2"/>
    <w:rsid w:val="00C670DD"/>
    <w:rsid w:val="00C67698"/>
    <w:rsid w:val="00C67DF0"/>
    <w:rsid w:val="00C76DBD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12AF"/>
    <w:rsid w:val="00CB2AF5"/>
    <w:rsid w:val="00CB6421"/>
    <w:rsid w:val="00CB774B"/>
    <w:rsid w:val="00CC434A"/>
    <w:rsid w:val="00CC6093"/>
    <w:rsid w:val="00CD3E54"/>
    <w:rsid w:val="00CD70C0"/>
    <w:rsid w:val="00CE2112"/>
    <w:rsid w:val="00CE34FF"/>
    <w:rsid w:val="00CE35C9"/>
    <w:rsid w:val="00CE6820"/>
    <w:rsid w:val="00CF0615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7035"/>
    <w:rsid w:val="00D2140D"/>
    <w:rsid w:val="00D256B0"/>
    <w:rsid w:val="00D302BC"/>
    <w:rsid w:val="00D30BA3"/>
    <w:rsid w:val="00D334F4"/>
    <w:rsid w:val="00D423C7"/>
    <w:rsid w:val="00D423CA"/>
    <w:rsid w:val="00D42B5D"/>
    <w:rsid w:val="00D44BE0"/>
    <w:rsid w:val="00D52053"/>
    <w:rsid w:val="00D52CE1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223A"/>
    <w:rsid w:val="00E02AEB"/>
    <w:rsid w:val="00E034E6"/>
    <w:rsid w:val="00E03A7B"/>
    <w:rsid w:val="00E07F21"/>
    <w:rsid w:val="00E11D52"/>
    <w:rsid w:val="00E1521A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5D91"/>
    <w:rsid w:val="00E46435"/>
    <w:rsid w:val="00E46481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4B9"/>
    <w:rsid w:val="00E70DFB"/>
    <w:rsid w:val="00E718C8"/>
    <w:rsid w:val="00E71BE1"/>
    <w:rsid w:val="00E72CE1"/>
    <w:rsid w:val="00E76D87"/>
    <w:rsid w:val="00E81698"/>
    <w:rsid w:val="00E82143"/>
    <w:rsid w:val="00E845D0"/>
    <w:rsid w:val="00E869B6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31973"/>
    <w:rsid w:val="00F31C43"/>
    <w:rsid w:val="00F34D80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0462"/>
    <w:rsid w:val="00F965BC"/>
    <w:rsid w:val="00FA3124"/>
    <w:rsid w:val="00FA6B87"/>
    <w:rsid w:val="00FB0D79"/>
    <w:rsid w:val="00FB2E32"/>
    <w:rsid w:val="00FB2FBC"/>
    <w:rsid w:val="00FB38C4"/>
    <w:rsid w:val="00FB6A2E"/>
    <w:rsid w:val="00FC13FB"/>
    <w:rsid w:val="00FC40BB"/>
    <w:rsid w:val="00FC4661"/>
    <w:rsid w:val="00FC64BE"/>
    <w:rsid w:val="00FC6A9C"/>
    <w:rsid w:val="00FD1965"/>
    <w:rsid w:val="00FD1D0E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757CBFBE"/>
  <w15:docId w15:val="{9541B1A1-C84C-4B16-B67D-406B943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3329-4B5F-4887-835E-852806D6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D0A25A07.dotm</Template>
  <TotalTime>1</TotalTime>
  <Pages>3</Pages>
  <Words>353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State 618 Data Collection Processes</dc:subject>
  <dc:creator>Debra Reames</dc:creator>
  <cp:lastModifiedBy>Sylvie Warren</cp:lastModifiedBy>
  <cp:revision>4</cp:revision>
  <cp:lastPrinted>2015-11-12T14:28:00Z</cp:lastPrinted>
  <dcterms:created xsi:type="dcterms:W3CDTF">2017-10-31T13:29:00Z</dcterms:created>
  <dcterms:modified xsi:type="dcterms:W3CDTF">2017-10-31T14:09:00Z</dcterms:modified>
</cp:coreProperties>
</file>